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1A5CE" w14:textId="77777777" w:rsidR="00963228" w:rsidRDefault="00963228" w:rsidP="007B5AE0">
      <w:pPr>
        <w:spacing w:before="240"/>
        <w:rPr>
          <w:sz w:val="40"/>
          <w:szCs w:val="40"/>
        </w:rPr>
      </w:pPr>
    </w:p>
    <w:p w14:paraId="6EB0852F" w14:textId="14870F7F" w:rsidR="002D7FF0" w:rsidRPr="007B5AE0" w:rsidRDefault="00EA7D65" w:rsidP="007B5AE0">
      <w:pPr>
        <w:spacing w:before="240"/>
        <w:rPr>
          <w:sz w:val="40"/>
          <w:szCs w:val="40"/>
        </w:rPr>
      </w:pPr>
      <w:r>
        <w:rPr>
          <w:sz w:val="40"/>
          <w:szCs w:val="40"/>
        </w:rPr>
        <w:t xml:space="preserve">The Strategic Vision for </w:t>
      </w:r>
      <w:r w:rsidR="00D97BBB" w:rsidRPr="007B5AE0">
        <w:rPr>
          <w:sz w:val="40"/>
          <w:szCs w:val="40"/>
        </w:rPr>
        <w:t>Education Space</w:t>
      </w:r>
      <w:r w:rsidR="00060361" w:rsidRPr="007B5AE0">
        <w:rPr>
          <w:sz w:val="40"/>
          <w:szCs w:val="40"/>
        </w:rPr>
        <w:t xml:space="preserve"> </w:t>
      </w:r>
    </w:p>
    <w:sdt>
      <w:sdtPr>
        <w:rPr>
          <w:rFonts w:asciiTheme="minorHAnsi" w:eastAsiaTheme="minorEastAsia" w:hAnsiTheme="minorHAnsi" w:cstheme="minorBidi"/>
          <w:b w:val="0"/>
          <w:bCs w:val="0"/>
          <w:smallCaps w:val="0"/>
          <w:sz w:val="22"/>
          <w:szCs w:val="22"/>
        </w:rPr>
        <w:id w:val="-1071194775"/>
        <w:docPartObj>
          <w:docPartGallery w:val="Table of Contents"/>
          <w:docPartUnique/>
        </w:docPartObj>
      </w:sdtPr>
      <w:sdtEndPr>
        <w:rPr>
          <w:noProof/>
          <w:sz w:val="24"/>
        </w:rPr>
      </w:sdtEndPr>
      <w:sdtContent>
        <w:p w14:paraId="04F23DEF" w14:textId="551A2B0D" w:rsidR="002D7FF0" w:rsidRDefault="002D7FF0">
          <w:pPr>
            <w:pStyle w:val="TOCHeading"/>
          </w:pPr>
          <w:r>
            <w:t>Contents</w:t>
          </w:r>
        </w:p>
        <w:p w14:paraId="37C5E27C" w14:textId="77777777" w:rsidR="00546411" w:rsidRDefault="0046066D">
          <w:pPr>
            <w:pStyle w:val="TOC1"/>
            <w:tabs>
              <w:tab w:val="right" w:leader="dot" w:pos="9962"/>
            </w:tabs>
            <w:rPr>
              <w:noProof/>
              <w:sz w:val="22"/>
              <w:lang w:eastAsia="en-GB"/>
            </w:rPr>
          </w:pPr>
          <w:r>
            <w:fldChar w:fldCharType="begin"/>
          </w:r>
          <w:r>
            <w:instrText xml:space="preserve"> TOC \h \z \t "Heading 1,2,Heading 2,3,Heading 3,4,Title,1" </w:instrText>
          </w:r>
          <w:r>
            <w:fldChar w:fldCharType="separate"/>
          </w:r>
          <w:hyperlink w:anchor="_Toc491781071" w:history="1">
            <w:r w:rsidR="00546411" w:rsidRPr="00191B2E">
              <w:rPr>
                <w:rStyle w:val="Hyperlink"/>
                <w:noProof/>
              </w:rPr>
              <w:t>A: The Strategic Vision for Education Space</w:t>
            </w:r>
            <w:r w:rsidR="00546411">
              <w:rPr>
                <w:noProof/>
                <w:webHidden/>
              </w:rPr>
              <w:tab/>
            </w:r>
            <w:r w:rsidR="00546411">
              <w:rPr>
                <w:noProof/>
                <w:webHidden/>
              </w:rPr>
              <w:fldChar w:fldCharType="begin"/>
            </w:r>
            <w:r w:rsidR="00546411">
              <w:rPr>
                <w:noProof/>
                <w:webHidden/>
              </w:rPr>
              <w:instrText xml:space="preserve"> PAGEREF _Toc491781071 \h </w:instrText>
            </w:r>
            <w:r w:rsidR="00546411">
              <w:rPr>
                <w:noProof/>
                <w:webHidden/>
              </w:rPr>
            </w:r>
            <w:r w:rsidR="00546411">
              <w:rPr>
                <w:noProof/>
                <w:webHidden/>
              </w:rPr>
              <w:fldChar w:fldCharType="separate"/>
            </w:r>
            <w:r w:rsidR="00391DEF">
              <w:rPr>
                <w:noProof/>
                <w:webHidden/>
              </w:rPr>
              <w:t>2</w:t>
            </w:r>
            <w:r w:rsidR="00546411">
              <w:rPr>
                <w:noProof/>
                <w:webHidden/>
              </w:rPr>
              <w:fldChar w:fldCharType="end"/>
            </w:r>
          </w:hyperlink>
        </w:p>
        <w:p w14:paraId="3D8E7089" w14:textId="77777777" w:rsidR="00546411" w:rsidRDefault="00B42FB3">
          <w:pPr>
            <w:pStyle w:val="TOC2"/>
            <w:tabs>
              <w:tab w:val="right" w:leader="dot" w:pos="9962"/>
            </w:tabs>
            <w:rPr>
              <w:noProof/>
              <w:sz w:val="22"/>
              <w:lang w:eastAsia="en-GB"/>
            </w:rPr>
          </w:pPr>
          <w:hyperlink w:anchor="_Toc491781072" w:history="1">
            <w:r w:rsidR="00546411" w:rsidRPr="00191B2E">
              <w:rPr>
                <w:rStyle w:val="Hyperlink"/>
                <w:noProof/>
              </w:rPr>
              <w:t>The Vision</w:t>
            </w:r>
            <w:r w:rsidR="00546411">
              <w:rPr>
                <w:noProof/>
                <w:webHidden/>
              </w:rPr>
              <w:tab/>
            </w:r>
            <w:r w:rsidR="00546411">
              <w:rPr>
                <w:noProof/>
                <w:webHidden/>
              </w:rPr>
              <w:fldChar w:fldCharType="begin"/>
            </w:r>
            <w:r w:rsidR="00546411">
              <w:rPr>
                <w:noProof/>
                <w:webHidden/>
              </w:rPr>
              <w:instrText xml:space="preserve"> PAGEREF _Toc491781072 \h </w:instrText>
            </w:r>
            <w:r w:rsidR="00546411">
              <w:rPr>
                <w:noProof/>
                <w:webHidden/>
              </w:rPr>
            </w:r>
            <w:r w:rsidR="00546411">
              <w:rPr>
                <w:noProof/>
                <w:webHidden/>
              </w:rPr>
              <w:fldChar w:fldCharType="separate"/>
            </w:r>
            <w:r w:rsidR="00391DEF">
              <w:rPr>
                <w:noProof/>
                <w:webHidden/>
              </w:rPr>
              <w:t>2</w:t>
            </w:r>
            <w:r w:rsidR="00546411">
              <w:rPr>
                <w:noProof/>
                <w:webHidden/>
              </w:rPr>
              <w:fldChar w:fldCharType="end"/>
            </w:r>
          </w:hyperlink>
        </w:p>
        <w:p w14:paraId="1C80082C" w14:textId="77777777" w:rsidR="00546411" w:rsidRDefault="00B42FB3">
          <w:pPr>
            <w:pStyle w:val="TOC2"/>
            <w:tabs>
              <w:tab w:val="right" w:leader="dot" w:pos="9962"/>
            </w:tabs>
            <w:rPr>
              <w:noProof/>
              <w:sz w:val="22"/>
              <w:lang w:eastAsia="en-GB"/>
            </w:rPr>
          </w:pPr>
          <w:hyperlink w:anchor="_Toc491781073" w:history="1">
            <w:r w:rsidR="00546411" w:rsidRPr="00191B2E">
              <w:rPr>
                <w:rStyle w:val="Hyperlink"/>
                <w:noProof/>
              </w:rPr>
              <w:t>Background</w:t>
            </w:r>
            <w:r w:rsidR="00546411">
              <w:rPr>
                <w:noProof/>
                <w:webHidden/>
              </w:rPr>
              <w:tab/>
            </w:r>
            <w:r w:rsidR="00546411">
              <w:rPr>
                <w:noProof/>
                <w:webHidden/>
              </w:rPr>
              <w:fldChar w:fldCharType="begin"/>
            </w:r>
            <w:r w:rsidR="00546411">
              <w:rPr>
                <w:noProof/>
                <w:webHidden/>
              </w:rPr>
              <w:instrText xml:space="preserve"> PAGEREF _Toc491781073 \h </w:instrText>
            </w:r>
            <w:r w:rsidR="00546411">
              <w:rPr>
                <w:noProof/>
                <w:webHidden/>
              </w:rPr>
            </w:r>
            <w:r w:rsidR="00546411">
              <w:rPr>
                <w:noProof/>
                <w:webHidden/>
              </w:rPr>
              <w:fldChar w:fldCharType="separate"/>
            </w:r>
            <w:r w:rsidR="00391DEF">
              <w:rPr>
                <w:noProof/>
                <w:webHidden/>
              </w:rPr>
              <w:t>2</w:t>
            </w:r>
            <w:r w:rsidR="00546411">
              <w:rPr>
                <w:noProof/>
                <w:webHidden/>
              </w:rPr>
              <w:fldChar w:fldCharType="end"/>
            </w:r>
          </w:hyperlink>
        </w:p>
        <w:p w14:paraId="76C62FA3" w14:textId="77777777" w:rsidR="00546411" w:rsidRDefault="00B42FB3">
          <w:pPr>
            <w:pStyle w:val="TOC1"/>
            <w:tabs>
              <w:tab w:val="right" w:leader="dot" w:pos="9962"/>
            </w:tabs>
            <w:rPr>
              <w:noProof/>
              <w:sz w:val="22"/>
              <w:lang w:eastAsia="en-GB"/>
            </w:rPr>
          </w:pPr>
          <w:hyperlink w:anchor="_Toc491781074" w:history="1">
            <w:r w:rsidR="00546411" w:rsidRPr="00191B2E">
              <w:rPr>
                <w:rStyle w:val="Hyperlink"/>
                <w:noProof/>
              </w:rPr>
              <w:t>B: The Programme Board for Education Space</w:t>
            </w:r>
            <w:r w:rsidR="00546411">
              <w:rPr>
                <w:noProof/>
                <w:webHidden/>
              </w:rPr>
              <w:tab/>
            </w:r>
            <w:r w:rsidR="00546411">
              <w:rPr>
                <w:noProof/>
                <w:webHidden/>
              </w:rPr>
              <w:fldChar w:fldCharType="begin"/>
            </w:r>
            <w:r w:rsidR="00546411">
              <w:rPr>
                <w:noProof/>
                <w:webHidden/>
              </w:rPr>
              <w:instrText xml:space="preserve"> PAGEREF _Toc491781074 \h </w:instrText>
            </w:r>
            <w:r w:rsidR="00546411">
              <w:rPr>
                <w:noProof/>
                <w:webHidden/>
              </w:rPr>
            </w:r>
            <w:r w:rsidR="00546411">
              <w:rPr>
                <w:noProof/>
                <w:webHidden/>
              </w:rPr>
              <w:fldChar w:fldCharType="separate"/>
            </w:r>
            <w:r w:rsidR="00391DEF">
              <w:rPr>
                <w:noProof/>
                <w:webHidden/>
              </w:rPr>
              <w:t>3</w:t>
            </w:r>
            <w:r w:rsidR="00546411">
              <w:rPr>
                <w:noProof/>
                <w:webHidden/>
              </w:rPr>
              <w:fldChar w:fldCharType="end"/>
            </w:r>
          </w:hyperlink>
        </w:p>
        <w:p w14:paraId="2C1E6E23" w14:textId="77777777" w:rsidR="00546411" w:rsidRDefault="00B42FB3">
          <w:pPr>
            <w:pStyle w:val="TOC2"/>
            <w:tabs>
              <w:tab w:val="right" w:leader="dot" w:pos="9962"/>
            </w:tabs>
            <w:rPr>
              <w:noProof/>
              <w:sz w:val="22"/>
              <w:lang w:eastAsia="en-GB"/>
            </w:rPr>
          </w:pPr>
          <w:hyperlink w:anchor="_Toc491781075" w:history="1">
            <w:r w:rsidR="00546411" w:rsidRPr="00191B2E">
              <w:rPr>
                <w:rStyle w:val="Hyperlink"/>
                <w:noProof/>
              </w:rPr>
              <w:t>The Role of the Programme Board</w:t>
            </w:r>
            <w:r w:rsidR="00546411">
              <w:rPr>
                <w:noProof/>
                <w:webHidden/>
              </w:rPr>
              <w:tab/>
            </w:r>
            <w:r w:rsidR="00546411">
              <w:rPr>
                <w:noProof/>
                <w:webHidden/>
              </w:rPr>
              <w:fldChar w:fldCharType="begin"/>
            </w:r>
            <w:r w:rsidR="00546411">
              <w:rPr>
                <w:noProof/>
                <w:webHidden/>
              </w:rPr>
              <w:instrText xml:space="preserve"> PAGEREF _Toc491781075 \h </w:instrText>
            </w:r>
            <w:r w:rsidR="00546411">
              <w:rPr>
                <w:noProof/>
                <w:webHidden/>
              </w:rPr>
            </w:r>
            <w:r w:rsidR="00546411">
              <w:rPr>
                <w:noProof/>
                <w:webHidden/>
              </w:rPr>
              <w:fldChar w:fldCharType="separate"/>
            </w:r>
            <w:r w:rsidR="00391DEF">
              <w:rPr>
                <w:noProof/>
                <w:webHidden/>
              </w:rPr>
              <w:t>3</w:t>
            </w:r>
            <w:r w:rsidR="00546411">
              <w:rPr>
                <w:noProof/>
                <w:webHidden/>
              </w:rPr>
              <w:fldChar w:fldCharType="end"/>
            </w:r>
          </w:hyperlink>
        </w:p>
        <w:p w14:paraId="2673FA2D" w14:textId="77777777" w:rsidR="00546411" w:rsidRDefault="00B42FB3">
          <w:pPr>
            <w:pStyle w:val="TOC2"/>
            <w:tabs>
              <w:tab w:val="right" w:leader="dot" w:pos="9962"/>
            </w:tabs>
            <w:rPr>
              <w:noProof/>
              <w:sz w:val="22"/>
              <w:lang w:eastAsia="en-GB"/>
            </w:rPr>
          </w:pPr>
          <w:hyperlink w:anchor="_Toc491781076" w:history="1">
            <w:r w:rsidR="00546411" w:rsidRPr="00191B2E">
              <w:rPr>
                <w:rStyle w:val="Hyperlink"/>
                <w:noProof/>
              </w:rPr>
              <w:t>Scope</w:t>
            </w:r>
            <w:r w:rsidR="00546411">
              <w:rPr>
                <w:noProof/>
                <w:webHidden/>
              </w:rPr>
              <w:tab/>
            </w:r>
            <w:r w:rsidR="00546411">
              <w:rPr>
                <w:noProof/>
                <w:webHidden/>
              </w:rPr>
              <w:fldChar w:fldCharType="begin"/>
            </w:r>
            <w:r w:rsidR="00546411">
              <w:rPr>
                <w:noProof/>
                <w:webHidden/>
              </w:rPr>
              <w:instrText xml:space="preserve"> PAGEREF _Toc491781076 \h </w:instrText>
            </w:r>
            <w:r w:rsidR="00546411">
              <w:rPr>
                <w:noProof/>
                <w:webHidden/>
              </w:rPr>
            </w:r>
            <w:r w:rsidR="00546411">
              <w:rPr>
                <w:noProof/>
                <w:webHidden/>
              </w:rPr>
              <w:fldChar w:fldCharType="separate"/>
            </w:r>
            <w:r w:rsidR="00391DEF">
              <w:rPr>
                <w:noProof/>
                <w:webHidden/>
              </w:rPr>
              <w:t>3</w:t>
            </w:r>
            <w:r w:rsidR="00546411">
              <w:rPr>
                <w:noProof/>
                <w:webHidden/>
              </w:rPr>
              <w:fldChar w:fldCharType="end"/>
            </w:r>
          </w:hyperlink>
        </w:p>
        <w:p w14:paraId="4A51526F" w14:textId="77777777" w:rsidR="00546411" w:rsidRDefault="00B42FB3">
          <w:pPr>
            <w:pStyle w:val="TOC2"/>
            <w:tabs>
              <w:tab w:val="right" w:leader="dot" w:pos="9962"/>
            </w:tabs>
            <w:rPr>
              <w:noProof/>
              <w:sz w:val="22"/>
              <w:lang w:eastAsia="en-GB"/>
            </w:rPr>
          </w:pPr>
          <w:hyperlink w:anchor="_Toc491781077" w:history="1">
            <w:r w:rsidR="00546411" w:rsidRPr="00191B2E">
              <w:rPr>
                <w:rStyle w:val="Hyperlink"/>
                <w:noProof/>
              </w:rPr>
              <w:t>Guiding Principles</w:t>
            </w:r>
            <w:r w:rsidR="00546411">
              <w:rPr>
                <w:noProof/>
                <w:webHidden/>
              </w:rPr>
              <w:tab/>
            </w:r>
            <w:r w:rsidR="00546411">
              <w:rPr>
                <w:noProof/>
                <w:webHidden/>
              </w:rPr>
              <w:fldChar w:fldCharType="begin"/>
            </w:r>
            <w:r w:rsidR="00546411">
              <w:rPr>
                <w:noProof/>
                <w:webHidden/>
              </w:rPr>
              <w:instrText xml:space="preserve"> PAGEREF _Toc491781077 \h </w:instrText>
            </w:r>
            <w:r w:rsidR="00546411">
              <w:rPr>
                <w:noProof/>
                <w:webHidden/>
              </w:rPr>
            </w:r>
            <w:r w:rsidR="00546411">
              <w:rPr>
                <w:noProof/>
                <w:webHidden/>
              </w:rPr>
              <w:fldChar w:fldCharType="separate"/>
            </w:r>
            <w:r w:rsidR="00391DEF">
              <w:rPr>
                <w:noProof/>
                <w:webHidden/>
              </w:rPr>
              <w:t>3</w:t>
            </w:r>
            <w:r w:rsidR="00546411">
              <w:rPr>
                <w:noProof/>
                <w:webHidden/>
              </w:rPr>
              <w:fldChar w:fldCharType="end"/>
            </w:r>
          </w:hyperlink>
        </w:p>
        <w:p w14:paraId="2CD44E1B" w14:textId="77777777" w:rsidR="00546411" w:rsidRDefault="00B42FB3">
          <w:pPr>
            <w:pStyle w:val="TOC2"/>
            <w:tabs>
              <w:tab w:val="right" w:leader="dot" w:pos="9962"/>
            </w:tabs>
            <w:rPr>
              <w:noProof/>
              <w:sz w:val="22"/>
              <w:lang w:eastAsia="en-GB"/>
            </w:rPr>
          </w:pPr>
          <w:hyperlink w:anchor="_Toc491781078" w:history="1">
            <w:r w:rsidR="00546411" w:rsidRPr="00191B2E">
              <w:rPr>
                <w:rStyle w:val="Hyperlink"/>
                <w:noProof/>
              </w:rPr>
              <w:t>Success Criteria</w:t>
            </w:r>
            <w:r w:rsidR="00546411">
              <w:rPr>
                <w:noProof/>
                <w:webHidden/>
              </w:rPr>
              <w:tab/>
            </w:r>
            <w:r w:rsidR="00546411">
              <w:rPr>
                <w:noProof/>
                <w:webHidden/>
              </w:rPr>
              <w:fldChar w:fldCharType="begin"/>
            </w:r>
            <w:r w:rsidR="00546411">
              <w:rPr>
                <w:noProof/>
                <w:webHidden/>
              </w:rPr>
              <w:instrText xml:space="preserve"> PAGEREF _Toc491781078 \h </w:instrText>
            </w:r>
            <w:r w:rsidR="00546411">
              <w:rPr>
                <w:noProof/>
                <w:webHidden/>
              </w:rPr>
            </w:r>
            <w:r w:rsidR="00546411">
              <w:rPr>
                <w:noProof/>
                <w:webHidden/>
              </w:rPr>
              <w:fldChar w:fldCharType="separate"/>
            </w:r>
            <w:r w:rsidR="00391DEF">
              <w:rPr>
                <w:noProof/>
                <w:webHidden/>
              </w:rPr>
              <w:t>4</w:t>
            </w:r>
            <w:r w:rsidR="00546411">
              <w:rPr>
                <w:noProof/>
                <w:webHidden/>
              </w:rPr>
              <w:fldChar w:fldCharType="end"/>
            </w:r>
          </w:hyperlink>
        </w:p>
        <w:p w14:paraId="67C53D38" w14:textId="77777777" w:rsidR="00546411" w:rsidRDefault="00B42FB3">
          <w:pPr>
            <w:pStyle w:val="TOC2"/>
            <w:tabs>
              <w:tab w:val="right" w:leader="dot" w:pos="9962"/>
            </w:tabs>
            <w:rPr>
              <w:noProof/>
              <w:sz w:val="22"/>
              <w:lang w:eastAsia="en-GB"/>
            </w:rPr>
          </w:pPr>
          <w:hyperlink w:anchor="_Toc491781079" w:history="1">
            <w:r w:rsidR="00546411" w:rsidRPr="00191B2E">
              <w:rPr>
                <w:rStyle w:val="Hyperlink"/>
                <w:noProof/>
              </w:rPr>
              <w:t>Composition</w:t>
            </w:r>
            <w:r w:rsidR="00546411">
              <w:rPr>
                <w:noProof/>
                <w:webHidden/>
              </w:rPr>
              <w:tab/>
            </w:r>
            <w:r w:rsidR="00546411">
              <w:rPr>
                <w:noProof/>
                <w:webHidden/>
              </w:rPr>
              <w:fldChar w:fldCharType="begin"/>
            </w:r>
            <w:r w:rsidR="00546411">
              <w:rPr>
                <w:noProof/>
                <w:webHidden/>
              </w:rPr>
              <w:instrText xml:space="preserve"> PAGEREF _Toc491781079 \h </w:instrText>
            </w:r>
            <w:r w:rsidR="00546411">
              <w:rPr>
                <w:noProof/>
                <w:webHidden/>
              </w:rPr>
            </w:r>
            <w:r w:rsidR="00546411">
              <w:rPr>
                <w:noProof/>
                <w:webHidden/>
              </w:rPr>
              <w:fldChar w:fldCharType="separate"/>
            </w:r>
            <w:r w:rsidR="00391DEF">
              <w:rPr>
                <w:noProof/>
                <w:webHidden/>
              </w:rPr>
              <w:t>5</w:t>
            </w:r>
            <w:r w:rsidR="00546411">
              <w:rPr>
                <w:noProof/>
                <w:webHidden/>
              </w:rPr>
              <w:fldChar w:fldCharType="end"/>
            </w:r>
          </w:hyperlink>
        </w:p>
        <w:p w14:paraId="14CA7E43" w14:textId="77777777" w:rsidR="00546411" w:rsidRDefault="00B42FB3">
          <w:pPr>
            <w:pStyle w:val="TOC2"/>
            <w:tabs>
              <w:tab w:val="right" w:leader="dot" w:pos="9962"/>
            </w:tabs>
            <w:rPr>
              <w:noProof/>
              <w:sz w:val="22"/>
              <w:lang w:eastAsia="en-GB"/>
            </w:rPr>
          </w:pPr>
          <w:hyperlink w:anchor="_Toc491781080" w:history="1">
            <w:r w:rsidR="00546411" w:rsidRPr="00191B2E">
              <w:rPr>
                <w:rStyle w:val="Hyperlink"/>
                <w:noProof/>
              </w:rPr>
              <w:t>Governance</w:t>
            </w:r>
            <w:r w:rsidR="00546411">
              <w:rPr>
                <w:noProof/>
                <w:webHidden/>
              </w:rPr>
              <w:tab/>
            </w:r>
            <w:r w:rsidR="00546411">
              <w:rPr>
                <w:noProof/>
                <w:webHidden/>
              </w:rPr>
              <w:fldChar w:fldCharType="begin"/>
            </w:r>
            <w:r w:rsidR="00546411">
              <w:rPr>
                <w:noProof/>
                <w:webHidden/>
              </w:rPr>
              <w:instrText xml:space="preserve"> PAGEREF _Toc491781080 \h </w:instrText>
            </w:r>
            <w:r w:rsidR="00546411">
              <w:rPr>
                <w:noProof/>
                <w:webHidden/>
              </w:rPr>
            </w:r>
            <w:r w:rsidR="00546411">
              <w:rPr>
                <w:noProof/>
                <w:webHidden/>
              </w:rPr>
              <w:fldChar w:fldCharType="separate"/>
            </w:r>
            <w:r w:rsidR="00391DEF">
              <w:rPr>
                <w:noProof/>
                <w:webHidden/>
              </w:rPr>
              <w:t>5</w:t>
            </w:r>
            <w:r w:rsidR="00546411">
              <w:rPr>
                <w:noProof/>
                <w:webHidden/>
              </w:rPr>
              <w:fldChar w:fldCharType="end"/>
            </w:r>
          </w:hyperlink>
        </w:p>
        <w:p w14:paraId="375A9FEA" w14:textId="77777777" w:rsidR="00546411" w:rsidRDefault="00B42FB3">
          <w:pPr>
            <w:pStyle w:val="TOC2"/>
            <w:tabs>
              <w:tab w:val="right" w:leader="dot" w:pos="9962"/>
            </w:tabs>
            <w:rPr>
              <w:noProof/>
              <w:sz w:val="22"/>
              <w:lang w:eastAsia="en-GB"/>
            </w:rPr>
          </w:pPr>
          <w:hyperlink w:anchor="_Toc491781081" w:history="1">
            <w:r w:rsidR="00546411" w:rsidRPr="00191B2E">
              <w:rPr>
                <w:rStyle w:val="Hyperlink"/>
                <w:noProof/>
              </w:rPr>
              <w:t>Inputs</w:t>
            </w:r>
            <w:r w:rsidR="00546411">
              <w:rPr>
                <w:noProof/>
                <w:webHidden/>
              </w:rPr>
              <w:tab/>
            </w:r>
            <w:r w:rsidR="00546411">
              <w:rPr>
                <w:noProof/>
                <w:webHidden/>
              </w:rPr>
              <w:fldChar w:fldCharType="begin"/>
            </w:r>
            <w:r w:rsidR="00546411">
              <w:rPr>
                <w:noProof/>
                <w:webHidden/>
              </w:rPr>
              <w:instrText xml:space="preserve"> PAGEREF _Toc491781081 \h </w:instrText>
            </w:r>
            <w:r w:rsidR="00546411">
              <w:rPr>
                <w:noProof/>
                <w:webHidden/>
              </w:rPr>
            </w:r>
            <w:r w:rsidR="00546411">
              <w:rPr>
                <w:noProof/>
                <w:webHidden/>
              </w:rPr>
              <w:fldChar w:fldCharType="separate"/>
            </w:r>
            <w:r w:rsidR="00391DEF">
              <w:rPr>
                <w:noProof/>
                <w:webHidden/>
              </w:rPr>
              <w:t>5</w:t>
            </w:r>
            <w:r w:rsidR="00546411">
              <w:rPr>
                <w:noProof/>
                <w:webHidden/>
              </w:rPr>
              <w:fldChar w:fldCharType="end"/>
            </w:r>
          </w:hyperlink>
        </w:p>
        <w:p w14:paraId="2AB5AA1A" w14:textId="77777777" w:rsidR="00546411" w:rsidRDefault="00B42FB3">
          <w:pPr>
            <w:pStyle w:val="TOC2"/>
            <w:tabs>
              <w:tab w:val="right" w:leader="dot" w:pos="9962"/>
            </w:tabs>
            <w:rPr>
              <w:noProof/>
              <w:sz w:val="22"/>
              <w:lang w:eastAsia="en-GB"/>
            </w:rPr>
          </w:pPr>
          <w:hyperlink w:anchor="_Toc491781082" w:history="1">
            <w:r w:rsidR="00546411" w:rsidRPr="00191B2E">
              <w:rPr>
                <w:rStyle w:val="Hyperlink"/>
                <w:noProof/>
              </w:rPr>
              <w:t>Dependencies</w:t>
            </w:r>
            <w:r w:rsidR="00546411">
              <w:rPr>
                <w:noProof/>
                <w:webHidden/>
              </w:rPr>
              <w:tab/>
            </w:r>
            <w:r w:rsidR="00546411">
              <w:rPr>
                <w:noProof/>
                <w:webHidden/>
              </w:rPr>
              <w:fldChar w:fldCharType="begin"/>
            </w:r>
            <w:r w:rsidR="00546411">
              <w:rPr>
                <w:noProof/>
                <w:webHidden/>
              </w:rPr>
              <w:instrText xml:space="preserve"> PAGEREF _Toc491781082 \h </w:instrText>
            </w:r>
            <w:r w:rsidR="00546411">
              <w:rPr>
                <w:noProof/>
                <w:webHidden/>
              </w:rPr>
            </w:r>
            <w:r w:rsidR="00546411">
              <w:rPr>
                <w:noProof/>
                <w:webHidden/>
              </w:rPr>
              <w:fldChar w:fldCharType="separate"/>
            </w:r>
            <w:r w:rsidR="00391DEF">
              <w:rPr>
                <w:noProof/>
                <w:webHidden/>
              </w:rPr>
              <w:t>6</w:t>
            </w:r>
            <w:r w:rsidR="00546411">
              <w:rPr>
                <w:noProof/>
                <w:webHidden/>
              </w:rPr>
              <w:fldChar w:fldCharType="end"/>
            </w:r>
          </w:hyperlink>
        </w:p>
        <w:p w14:paraId="164B75F9" w14:textId="77777777" w:rsidR="00546411" w:rsidRDefault="00B42FB3">
          <w:pPr>
            <w:pStyle w:val="TOC2"/>
            <w:tabs>
              <w:tab w:val="right" w:leader="dot" w:pos="9962"/>
            </w:tabs>
            <w:rPr>
              <w:noProof/>
              <w:sz w:val="22"/>
              <w:lang w:eastAsia="en-GB"/>
            </w:rPr>
          </w:pPr>
          <w:hyperlink w:anchor="_Toc491781083" w:history="1">
            <w:r w:rsidR="00546411" w:rsidRPr="00191B2E">
              <w:rPr>
                <w:rStyle w:val="Hyperlink"/>
                <w:noProof/>
              </w:rPr>
              <w:t>Risks and Issues</w:t>
            </w:r>
            <w:r w:rsidR="00546411">
              <w:rPr>
                <w:noProof/>
                <w:webHidden/>
              </w:rPr>
              <w:tab/>
            </w:r>
            <w:r w:rsidR="00546411">
              <w:rPr>
                <w:noProof/>
                <w:webHidden/>
              </w:rPr>
              <w:fldChar w:fldCharType="begin"/>
            </w:r>
            <w:r w:rsidR="00546411">
              <w:rPr>
                <w:noProof/>
                <w:webHidden/>
              </w:rPr>
              <w:instrText xml:space="preserve"> PAGEREF _Toc491781083 \h </w:instrText>
            </w:r>
            <w:r w:rsidR="00546411">
              <w:rPr>
                <w:noProof/>
                <w:webHidden/>
              </w:rPr>
            </w:r>
            <w:r w:rsidR="00546411">
              <w:rPr>
                <w:noProof/>
                <w:webHidden/>
              </w:rPr>
              <w:fldChar w:fldCharType="separate"/>
            </w:r>
            <w:r w:rsidR="00391DEF">
              <w:rPr>
                <w:noProof/>
                <w:webHidden/>
              </w:rPr>
              <w:t>6</w:t>
            </w:r>
            <w:r w:rsidR="00546411">
              <w:rPr>
                <w:noProof/>
                <w:webHidden/>
              </w:rPr>
              <w:fldChar w:fldCharType="end"/>
            </w:r>
          </w:hyperlink>
        </w:p>
        <w:p w14:paraId="67F992B8" w14:textId="77777777" w:rsidR="00546411" w:rsidRDefault="00B42FB3">
          <w:pPr>
            <w:pStyle w:val="TOC2"/>
            <w:tabs>
              <w:tab w:val="right" w:leader="dot" w:pos="9962"/>
            </w:tabs>
            <w:rPr>
              <w:noProof/>
              <w:sz w:val="22"/>
              <w:lang w:eastAsia="en-GB"/>
            </w:rPr>
          </w:pPr>
          <w:hyperlink w:anchor="_Toc491781084" w:history="1">
            <w:r w:rsidR="00546411" w:rsidRPr="00191B2E">
              <w:rPr>
                <w:rStyle w:val="Hyperlink"/>
                <w:noProof/>
              </w:rPr>
              <w:t>Programme Plan</w:t>
            </w:r>
            <w:r w:rsidR="00546411">
              <w:rPr>
                <w:noProof/>
                <w:webHidden/>
              </w:rPr>
              <w:tab/>
            </w:r>
            <w:r w:rsidR="00546411">
              <w:rPr>
                <w:noProof/>
                <w:webHidden/>
              </w:rPr>
              <w:fldChar w:fldCharType="begin"/>
            </w:r>
            <w:r w:rsidR="00546411">
              <w:rPr>
                <w:noProof/>
                <w:webHidden/>
              </w:rPr>
              <w:instrText xml:space="preserve"> PAGEREF _Toc491781084 \h </w:instrText>
            </w:r>
            <w:r w:rsidR="00546411">
              <w:rPr>
                <w:noProof/>
                <w:webHidden/>
              </w:rPr>
            </w:r>
            <w:r w:rsidR="00546411">
              <w:rPr>
                <w:noProof/>
                <w:webHidden/>
              </w:rPr>
              <w:fldChar w:fldCharType="separate"/>
            </w:r>
            <w:r w:rsidR="00391DEF">
              <w:rPr>
                <w:noProof/>
                <w:webHidden/>
              </w:rPr>
              <w:t>6</w:t>
            </w:r>
            <w:r w:rsidR="00546411">
              <w:rPr>
                <w:noProof/>
                <w:webHidden/>
              </w:rPr>
              <w:fldChar w:fldCharType="end"/>
            </w:r>
          </w:hyperlink>
        </w:p>
        <w:p w14:paraId="6C7E7EB3" w14:textId="77777777" w:rsidR="00546411" w:rsidRDefault="00B42FB3">
          <w:pPr>
            <w:pStyle w:val="TOC2"/>
            <w:tabs>
              <w:tab w:val="right" w:leader="dot" w:pos="9962"/>
            </w:tabs>
            <w:rPr>
              <w:noProof/>
              <w:sz w:val="22"/>
              <w:lang w:eastAsia="en-GB"/>
            </w:rPr>
          </w:pPr>
          <w:hyperlink w:anchor="_Toc491781085" w:history="1">
            <w:r w:rsidR="00546411" w:rsidRPr="00191B2E">
              <w:rPr>
                <w:rStyle w:val="Hyperlink"/>
                <w:noProof/>
              </w:rPr>
              <w:t>Communications &amp; Engagement Plan</w:t>
            </w:r>
            <w:r w:rsidR="00546411">
              <w:rPr>
                <w:noProof/>
                <w:webHidden/>
              </w:rPr>
              <w:tab/>
            </w:r>
            <w:r w:rsidR="00546411">
              <w:rPr>
                <w:noProof/>
                <w:webHidden/>
              </w:rPr>
              <w:fldChar w:fldCharType="begin"/>
            </w:r>
            <w:r w:rsidR="00546411">
              <w:rPr>
                <w:noProof/>
                <w:webHidden/>
              </w:rPr>
              <w:instrText xml:space="preserve"> PAGEREF _Toc491781085 \h </w:instrText>
            </w:r>
            <w:r w:rsidR="00546411">
              <w:rPr>
                <w:noProof/>
                <w:webHidden/>
              </w:rPr>
            </w:r>
            <w:r w:rsidR="00546411">
              <w:rPr>
                <w:noProof/>
                <w:webHidden/>
              </w:rPr>
              <w:fldChar w:fldCharType="separate"/>
            </w:r>
            <w:r w:rsidR="00391DEF">
              <w:rPr>
                <w:noProof/>
                <w:webHidden/>
              </w:rPr>
              <w:t>6</w:t>
            </w:r>
            <w:r w:rsidR="00546411">
              <w:rPr>
                <w:noProof/>
                <w:webHidden/>
              </w:rPr>
              <w:fldChar w:fldCharType="end"/>
            </w:r>
          </w:hyperlink>
        </w:p>
        <w:p w14:paraId="4BCF7B68" w14:textId="77777777" w:rsidR="00546411" w:rsidRDefault="00B42FB3">
          <w:pPr>
            <w:pStyle w:val="TOC1"/>
            <w:tabs>
              <w:tab w:val="right" w:leader="dot" w:pos="9962"/>
            </w:tabs>
            <w:rPr>
              <w:noProof/>
              <w:sz w:val="22"/>
              <w:lang w:eastAsia="en-GB"/>
            </w:rPr>
          </w:pPr>
          <w:hyperlink w:anchor="_Toc491781086" w:history="1">
            <w:r w:rsidR="00546411" w:rsidRPr="00191B2E">
              <w:rPr>
                <w:rStyle w:val="Hyperlink"/>
                <w:noProof/>
              </w:rPr>
              <w:t>C: The Programme of Work</w:t>
            </w:r>
            <w:r w:rsidR="00546411">
              <w:rPr>
                <w:noProof/>
                <w:webHidden/>
              </w:rPr>
              <w:tab/>
            </w:r>
            <w:r w:rsidR="00546411">
              <w:rPr>
                <w:noProof/>
                <w:webHidden/>
              </w:rPr>
              <w:fldChar w:fldCharType="begin"/>
            </w:r>
            <w:r w:rsidR="00546411">
              <w:rPr>
                <w:noProof/>
                <w:webHidden/>
              </w:rPr>
              <w:instrText xml:space="preserve"> PAGEREF _Toc491781086 \h </w:instrText>
            </w:r>
            <w:r w:rsidR="00546411">
              <w:rPr>
                <w:noProof/>
                <w:webHidden/>
              </w:rPr>
            </w:r>
            <w:r w:rsidR="00546411">
              <w:rPr>
                <w:noProof/>
                <w:webHidden/>
              </w:rPr>
              <w:fldChar w:fldCharType="separate"/>
            </w:r>
            <w:r w:rsidR="00391DEF">
              <w:rPr>
                <w:noProof/>
                <w:webHidden/>
              </w:rPr>
              <w:t>7</w:t>
            </w:r>
            <w:r w:rsidR="00546411">
              <w:rPr>
                <w:noProof/>
                <w:webHidden/>
              </w:rPr>
              <w:fldChar w:fldCharType="end"/>
            </w:r>
          </w:hyperlink>
        </w:p>
        <w:p w14:paraId="71BE31A6" w14:textId="77777777" w:rsidR="00546411" w:rsidRDefault="00B42FB3">
          <w:pPr>
            <w:pStyle w:val="TOC2"/>
            <w:tabs>
              <w:tab w:val="right" w:leader="dot" w:pos="9962"/>
            </w:tabs>
            <w:rPr>
              <w:noProof/>
              <w:sz w:val="22"/>
              <w:lang w:eastAsia="en-GB"/>
            </w:rPr>
          </w:pPr>
          <w:hyperlink w:anchor="_Toc491781087" w:history="1">
            <w:r w:rsidR="00546411" w:rsidRPr="00191B2E">
              <w:rPr>
                <w:rStyle w:val="Hyperlink"/>
                <w:noProof/>
              </w:rPr>
              <w:t>Programme Phases</w:t>
            </w:r>
            <w:r w:rsidR="00546411">
              <w:rPr>
                <w:noProof/>
                <w:webHidden/>
              </w:rPr>
              <w:tab/>
            </w:r>
            <w:r w:rsidR="00546411">
              <w:rPr>
                <w:noProof/>
                <w:webHidden/>
              </w:rPr>
              <w:fldChar w:fldCharType="begin"/>
            </w:r>
            <w:r w:rsidR="00546411">
              <w:rPr>
                <w:noProof/>
                <w:webHidden/>
              </w:rPr>
              <w:instrText xml:space="preserve"> PAGEREF _Toc491781087 \h </w:instrText>
            </w:r>
            <w:r w:rsidR="00546411">
              <w:rPr>
                <w:noProof/>
                <w:webHidden/>
              </w:rPr>
            </w:r>
            <w:r w:rsidR="00546411">
              <w:rPr>
                <w:noProof/>
                <w:webHidden/>
              </w:rPr>
              <w:fldChar w:fldCharType="separate"/>
            </w:r>
            <w:r w:rsidR="00391DEF">
              <w:rPr>
                <w:noProof/>
                <w:webHidden/>
              </w:rPr>
              <w:t>7</w:t>
            </w:r>
            <w:r w:rsidR="00546411">
              <w:rPr>
                <w:noProof/>
                <w:webHidden/>
              </w:rPr>
              <w:fldChar w:fldCharType="end"/>
            </w:r>
          </w:hyperlink>
        </w:p>
        <w:p w14:paraId="2883AA96" w14:textId="77777777" w:rsidR="00546411" w:rsidRDefault="00B42FB3">
          <w:pPr>
            <w:pStyle w:val="TOC2"/>
            <w:tabs>
              <w:tab w:val="right" w:leader="dot" w:pos="9962"/>
            </w:tabs>
            <w:rPr>
              <w:noProof/>
              <w:sz w:val="22"/>
              <w:lang w:eastAsia="en-GB"/>
            </w:rPr>
          </w:pPr>
          <w:hyperlink w:anchor="_Toc491781088" w:history="1">
            <w:r w:rsidR="00546411" w:rsidRPr="00191B2E">
              <w:rPr>
                <w:rStyle w:val="Hyperlink"/>
                <w:noProof/>
              </w:rPr>
              <w:t>Objectives: Phase 1</w:t>
            </w:r>
            <w:r w:rsidR="00546411">
              <w:rPr>
                <w:noProof/>
                <w:webHidden/>
              </w:rPr>
              <w:tab/>
            </w:r>
            <w:r w:rsidR="00546411">
              <w:rPr>
                <w:noProof/>
                <w:webHidden/>
              </w:rPr>
              <w:fldChar w:fldCharType="begin"/>
            </w:r>
            <w:r w:rsidR="00546411">
              <w:rPr>
                <w:noProof/>
                <w:webHidden/>
              </w:rPr>
              <w:instrText xml:space="preserve"> PAGEREF _Toc491781088 \h </w:instrText>
            </w:r>
            <w:r w:rsidR="00546411">
              <w:rPr>
                <w:noProof/>
                <w:webHidden/>
              </w:rPr>
            </w:r>
            <w:r w:rsidR="00546411">
              <w:rPr>
                <w:noProof/>
                <w:webHidden/>
              </w:rPr>
              <w:fldChar w:fldCharType="separate"/>
            </w:r>
            <w:r w:rsidR="00391DEF">
              <w:rPr>
                <w:noProof/>
                <w:webHidden/>
              </w:rPr>
              <w:t>7</w:t>
            </w:r>
            <w:r w:rsidR="00546411">
              <w:rPr>
                <w:noProof/>
                <w:webHidden/>
              </w:rPr>
              <w:fldChar w:fldCharType="end"/>
            </w:r>
          </w:hyperlink>
        </w:p>
        <w:p w14:paraId="5E340AF1" w14:textId="77777777" w:rsidR="00546411" w:rsidRDefault="00B42FB3">
          <w:pPr>
            <w:pStyle w:val="TOC1"/>
            <w:tabs>
              <w:tab w:val="right" w:leader="dot" w:pos="9962"/>
            </w:tabs>
            <w:rPr>
              <w:noProof/>
              <w:sz w:val="22"/>
              <w:lang w:eastAsia="en-GB"/>
            </w:rPr>
          </w:pPr>
          <w:hyperlink w:anchor="_Toc491781089" w:history="1">
            <w:r w:rsidR="00546411" w:rsidRPr="00191B2E">
              <w:rPr>
                <w:rStyle w:val="Hyperlink"/>
                <w:noProof/>
              </w:rPr>
              <w:t>D: References</w:t>
            </w:r>
            <w:r w:rsidR="00546411">
              <w:rPr>
                <w:noProof/>
                <w:webHidden/>
              </w:rPr>
              <w:tab/>
            </w:r>
            <w:r w:rsidR="00546411">
              <w:rPr>
                <w:noProof/>
                <w:webHidden/>
              </w:rPr>
              <w:fldChar w:fldCharType="begin"/>
            </w:r>
            <w:r w:rsidR="00546411">
              <w:rPr>
                <w:noProof/>
                <w:webHidden/>
              </w:rPr>
              <w:instrText xml:space="preserve"> PAGEREF _Toc491781089 \h </w:instrText>
            </w:r>
            <w:r w:rsidR="00546411">
              <w:rPr>
                <w:noProof/>
                <w:webHidden/>
              </w:rPr>
            </w:r>
            <w:r w:rsidR="00546411">
              <w:rPr>
                <w:noProof/>
                <w:webHidden/>
              </w:rPr>
              <w:fldChar w:fldCharType="separate"/>
            </w:r>
            <w:r w:rsidR="00391DEF">
              <w:rPr>
                <w:noProof/>
                <w:webHidden/>
              </w:rPr>
              <w:t>9</w:t>
            </w:r>
            <w:r w:rsidR="00546411">
              <w:rPr>
                <w:noProof/>
                <w:webHidden/>
              </w:rPr>
              <w:fldChar w:fldCharType="end"/>
            </w:r>
          </w:hyperlink>
        </w:p>
        <w:p w14:paraId="0D94A036" w14:textId="77777777" w:rsidR="00546411" w:rsidRDefault="00B42FB3">
          <w:pPr>
            <w:pStyle w:val="TOC2"/>
            <w:tabs>
              <w:tab w:val="right" w:leader="dot" w:pos="9962"/>
            </w:tabs>
            <w:rPr>
              <w:noProof/>
              <w:sz w:val="22"/>
              <w:lang w:eastAsia="en-GB"/>
            </w:rPr>
          </w:pPr>
          <w:hyperlink w:anchor="_Toc491781090" w:history="1">
            <w:r w:rsidR="00546411" w:rsidRPr="00191B2E">
              <w:rPr>
                <w:rStyle w:val="Hyperlink"/>
                <w:noProof/>
              </w:rPr>
              <w:t>Stakeholders</w:t>
            </w:r>
            <w:r w:rsidR="00546411">
              <w:rPr>
                <w:noProof/>
                <w:webHidden/>
              </w:rPr>
              <w:tab/>
            </w:r>
            <w:r w:rsidR="00546411">
              <w:rPr>
                <w:noProof/>
                <w:webHidden/>
              </w:rPr>
              <w:fldChar w:fldCharType="begin"/>
            </w:r>
            <w:r w:rsidR="00546411">
              <w:rPr>
                <w:noProof/>
                <w:webHidden/>
              </w:rPr>
              <w:instrText xml:space="preserve"> PAGEREF _Toc491781090 \h </w:instrText>
            </w:r>
            <w:r w:rsidR="00546411">
              <w:rPr>
                <w:noProof/>
                <w:webHidden/>
              </w:rPr>
            </w:r>
            <w:r w:rsidR="00546411">
              <w:rPr>
                <w:noProof/>
                <w:webHidden/>
              </w:rPr>
              <w:fldChar w:fldCharType="separate"/>
            </w:r>
            <w:r w:rsidR="00391DEF">
              <w:rPr>
                <w:noProof/>
                <w:webHidden/>
              </w:rPr>
              <w:t>9</w:t>
            </w:r>
            <w:r w:rsidR="00546411">
              <w:rPr>
                <w:noProof/>
                <w:webHidden/>
              </w:rPr>
              <w:fldChar w:fldCharType="end"/>
            </w:r>
          </w:hyperlink>
        </w:p>
        <w:p w14:paraId="19D2F73C" w14:textId="77777777" w:rsidR="00546411" w:rsidRDefault="00B42FB3">
          <w:pPr>
            <w:pStyle w:val="TOC2"/>
            <w:tabs>
              <w:tab w:val="right" w:leader="dot" w:pos="9962"/>
            </w:tabs>
            <w:rPr>
              <w:noProof/>
              <w:sz w:val="22"/>
              <w:lang w:eastAsia="en-GB"/>
            </w:rPr>
          </w:pPr>
          <w:hyperlink w:anchor="_Toc491781091" w:history="1">
            <w:r w:rsidR="00546411" w:rsidRPr="00191B2E">
              <w:rPr>
                <w:rStyle w:val="Hyperlink"/>
                <w:noProof/>
              </w:rPr>
              <w:t>Terminology</w:t>
            </w:r>
            <w:r w:rsidR="00546411">
              <w:rPr>
                <w:noProof/>
                <w:webHidden/>
              </w:rPr>
              <w:tab/>
            </w:r>
            <w:r w:rsidR="00546411">
              <w:rPr>
                <w:noProof/>
                <w:webHidden/>
              </w:rPr>
              <w:fldChar w:fldCharType="begin"/>
            </w:r>
            <w:r w:rsidR="00546411">
              <w:rPr>
                <w:noProof/>
                <w:webHidden/>
              </w:rPr>
              <w:instrText xml:space="preserve"> PAGEREF _Toc491781091 \h </w:instrText>
            </w:r>
            <w:r w:rsidR="00546411">
              <w:rPr>
                <w:noProof/>
                <w:webHidden/>
              </w:rPr>
            </w:r>
            <w:r w:rsidR="00546411">
              <w:rPr>
                <w:noProof/>
                <w:webHidden/>
              </w:rPr>
              <w:fldChar w:fldCharType="separate"/>
            </w:r>
            <w:r w:rsidR="00391DEF">
              <w:rPr>
                <w:noProof/>
                <w:webHidden/>
              </w:rPr>
              <w:t>9</w:t>
            </w:r>
            <w:r w:rsidR="00546411">
              <w:rPr>
                <w:noProof/>
                <w:webHidden/>
              </w:rPr>
              <w:fldChar w:fldCharType="end"/>
            </w:r>
          </w:hyperlink>
        </w:p>
        <w:p w14:paraId="47CA5A2C" w14:textId="05E84B27" w:rsidR="002D7FF0" w:rsidRDefault="0046066D">
          <w:r>
            <w:fldChar w:fldCharType="end"/>
          </w:r>
        </w:p>
      </w:sdtContent>
    </w:sdt>
    <w:p w14:paraId="024C3D1C" w14:textId="77777777" w:rsidR="0074147A" w:rsidRDefault="0074147A">
      <w:pPr>
        <w:rPr>
          <w:rFonts w:asciiTheme="majorHAnsi" w:eastAsiaTheme="majorEastAsia" w:hAnsiTheme="majorHAnsi" w:cstheme="majorBidi"/>
          <w:b/>
          <w:sz w:val="40"/>
          <w:szCs w:val="56"/>
        </w:rPr>
      </w:pPr>
      <w:r>
        <w:br w:type="page"/>
      </w:r>
    </w:p>
    <w:p w14:paraId="7B69F699" w14:textId="20607724" w:rsidR="00940195" w:rsidRPr="0046066D" w:rsidRDefault="00940195" w:rsidP="00966C05">
      <w:pPr>
        <w:pStyle w:val="Title"/>
      </w:pPr>
      <w:bookmarkStart w:id="0" w:name="_Toc491781071"/>
      <w:r w:rsidRPr="0046066D">
        <w:lastRenderedPageBreak/>
        <w:t xml:space="preserve">A: </w:t>
      </w:r>
      <w:r w:rsidR="00966C05">
        <w:t>T</w:t>
      </w:r>
      <w:r w:rsidRPr="0046066D">
        <w:t xml:space="preserve">he </w:t>
      </w:r>
      <w:r w:rsidR="0081483C">
        <w:t>Strategic Vision</w:t>
      </w:r>
      <w:r w:rsidR="0086358A">
        <w:t xml:space="preserve"> for Education Space</w:t>
      </w:r>
      <w:r w:rsidR="001F1D95">
        <w:rPr>
          <w:rStyle w:val="FootnoteReference"/>
        </w:rPr>
        <w:footnoteReference w:id="1"/>
      </w:r>
      <w:bookmarkEnd w:id="0"/>
    </w:p>
    <w:p w14:paraId="4AB294EC" w14:textId="77777777" w:rsidR="005E2D79" w:rsidRDefault="005E2D79" w:rsidP="005E2D79">
      <w:pPr>
        <w:pStyle w:val="Heading1"/>
        <w:spacing w:line="276" w:lineRule="auto"/>
      </w:pPr>
      <w:bookmarkStart w:id="1" w:name="_Toc491781072"/>
      <w:r>
        <w:t>The Vision</w:t>
      </w:r>
      <w:bookmarkEnd w:id="1"/>
    </w:p>
    <w:p w14:paraId="4007F07C" w14:textId="77777777" w:rsidR="005E2D79" w:rsidRPr="005E2D79" w:rsidRDefault="005E2D79" w:rsidP="005E2D79">
      <w:r w:rsidRPr="005E2D79">
        <w:rPr>
          <w:rFonts w:ascii="Calibri" w:eastAsia="Times New Roman" w:hAnsi="Calibri" w:cs="Times New Roman"/>
          <w:bCs/>
          <w:iCs/>
          <w:szCs w:val="24"/>
          <w:lang w:eastAsia="en-GB"/>
        </w:rPr>
        <w:t xml:space="preserve">To develop an estate that continuously provides teaching, learning and examination facilities for staff and students </w:t>
      </w:r>
      <w:proofErr w:type="gramStart"/>
      <w:r w:rsidRPr="005E2D79">
        <w:rPr>
          <w:rFonts w:ascii="Calibri" w:eastAsia="Times New Roman" w:hAnsi="Calibri" w:cs="Times New Roman"/>
          <w:bCs/>
          <w:iCs/>
          <w:szCs w:val="24"/>
          <w:lang w:eastAsia="en-GB"/>
        </w:rPr>
        <w:t>that are</w:t>
      </w:r>
      <w:proofErr w:type="gramEnd"/>
      <w:r w:rsidRPr="005E2D79">
        <w:rPr>
          <w:rFonts w:ascii="Calibri" w:eastAsia="Times New Roman" w:hAnsi="Calibri" w:cs="Times New Roman"/>
          <w:bCs/>
          <w:iCs/>
          <w:szCs w:val="24"/>
          <w:lang w:eastAsia="en-GB"/>
        </w:rPr>
        <w:t xml:space="preserve"> fit for purpose for a world-class institution now and in the future and which are used efficiently.</w:t>
      </w:r>
    </w:p>
    <w:p w14:paraId="3750384B" w14:textId="77777777" w:rsidR="00866288" w:rsidRDefault="00866288" w:rsidP="00866288">
      <w:pPr>
        <w:pStyle w:val="Heading1"/>
        <w:spacing w:line="276" w:lineRule="auto"/>
      </w:pPr>
      <w:bookmarkStart w:id="2" w:name="_Toc491781073"/>
      <w:r>
        <w:t>Background</w:t>
      </w:r>
      <w:bookmarkEnd w:id="2"/>
    </w:p>
    <w:p w14:paraId="7E078DA8" w14:textId="37673685" w:rsidR="00511E9E" w:rsidRDefault="00F704C9" w:rsidP="00866288">
      <w:pPr>
        <w:rPr>
          <w:szCs w:val="24"/>
        </w:rPr>
      </w:pPr>
      <w:r>
        <w:rPr>
          <w:szCs w:val="24"/>
        </w:rPr>
        <w:t>In 2017, t</w:t>
      </w:r>
      <w:r w:rsidR="00866288" w:rsidRPr="004207E8">
        <w:rPr>
          <w:szCs w:val="24"/>
        </w:rPr>
        <w:t xml:space="preserve">he University estate currently consists of 336 buildings.  </w:t>
      </w:r>
      <w:r w:rsidR="005C7DA9" w:rsidRPr="005C7DA9">
        <w:rPr>
          <w:szCs w:val="24"/>
        </w:rPr>
        <w:t>The gross internal floor area of the estate is 640,000m</w:t>
      </w:r>
      <w:r w:rsidR="005C7DA9" w:rsidRPr="005C7DA9">
        <w:rPr>
          <w:szCs w:val="24"/>
          <w:vertAlign w:val="superscript"/>
        </w:rPr>
        <w:t>2</w:t>
      </w:r>
      <w:r w:rsidR="005C7DA9" w:rsidRPr="005C7DA9">
        <w:rPr>
          <w:szCs w:val="24"/>
        </w:rPr>
        <w:t xml:space="preserve"> of which 44% (182,000m</w:t>
      </w:r>
      <w:r w:rsidR="005C7DA9" w:rsidRPr="0081483C">
        <w:rPr>
          <w:szCs w:val="24"/>
          <w:vertAlign w:val="superscript"/>
        </w:rPr>
        <w:t>2</w:t>
      </w:r>
      <w:r w:rsidR="005C7DA9" w:rsidRPr="005C7DA9">
        <w:rPr>
          <w:szCs w:val="24"/>
        </w:rPr>
        <w:t>) relates generally to teaching.</w:t>
      </w:r>
      <w:r w:rsidR="005C7DA9">
        <w:rPr>
          <w:szCs w:val="24"/>
        </w:rPr>
        <w:t xml:space="preserve"> </w:t>
      </w:r>
      <w:r w:rsidR="005C7DA9" w:rsidRPr="005C7DA9">
        <w:rPr>
          <w:szCs w:val="24"/>
        </w:rPr>
        <w:t xml:space="preserve"> This includes around 10,000m</w:t>
      </w:r>
      <w:r w:rsidR="005C7DA9" w:rsidRPr="005C7DA9">
        <w:rPr>
          <w:szCs w:val="24"/>
          <w:vertAlign w:val="superscript"/>
        </w:rPr>
        <w:t>2</w:t>
      </w:r>
      <w:r w:rsidR="005C7DA9" w:rsidRPr="005C7DA9">
        <w:rPr>
          <w:szCs w:val="24"/>
        </w:rPr>
        <w:t xml:space="preserve"> of raked lecture theatres, providing capacity for approximately 10,000 students for an undergraduate body of 12,000</w:t>
      </w:r>
      <w:r w:rsidR="001F1D95" w:rsidRPr="005C7DA9">
        <w:rPr>
          <w:szCs w:val="24"/>
        </w:rPr>
        <w:t xml:space="preserve">.  </w:t>
      </w:r>
      <w:r w:rsidR="00866288">
        <w:rPr>
          <w:szCs w:val="24"/>
        </w:rPr>
        <w:t>The University has the largest amount of core teaching space per taught student FTE of any University in the UK and more than double the Russell Group median, but the lowest measured utilisation rate for teaching space.</w:t>
      </w:r>
      <w:r w:rsidR="005240E3">
        <w:rPr>
          <w:rStyle w:val="FootnoteReference"/>
          <w:szCs w:val="24"/>
        </w:rPr>
        <w:footnoteReference w:id="2"/>
      </w:r>
      <w:r w:rsidR="00511E9E">
        <w:rPr>
          <w:szCs w:val="24"/>
        </w:rPr>
        <w:t xml:space="preserve"> </w:t>
      </w:r>
    </w:p>
    <w:p w14:paraId="1A7DDB6D" w14:textId="450D83C5" w:rsidR="008F7F41" w:rsidRDefault="008F7F41" w:rsidP="008F7F41">
      <w:pPr>
        <w:rPr>
          <w:szCs w:val="24"/>
        </w:rPr>
      </w:pPr>
      <w:r>
        <w:rPr>
          <w:szCs w:val="24"/>
        </w:rPr>
        <w:t>Despite the large amount of core teaching space available, many Departments report that they do not have access to suitable spaces that support the current or changing teaching needs of undergraduate and postgraduate students.  In particular, certain Departments report that they have no large lecture theatres to support their own teaching.</w:t>
      </w:r>
      <w:r w:rsidR="004E54DB">
        <w:rPr>
          <w:szCs w:val="24"/>
        </w:rPr>
        <w:t xml:space="preserve">  The planned changes to teaching space across the estate, such as the loss of </w:t>
      </w:r>
      <w:r w:rsidR="004E54DB" w:rsidRPr="005C7DA9">
        <w:rPr>
          <w:szCs w:val="24"/>
        </w:rPr>
        <w:t>600m</w:t>
      </w:r>
      <w:r w:rsidR="004E54DB" w:rsidRPr="0081483C">
        <w:rPr>
          <w:szCs w:val="24"/>
          <w:vertAlign w:val="superscript"/>
        </w:rPr>
        <w:t>2</w:t>
      </w:r>
      <w:r w:rsidR="004E54DB" w:rsidRPr="005C7DA9">
        <w:rPr>
          <w:szCs w:val="24"/>
        </w:rPr>
        <w:t xml:space="preserve"> of lecture theatre space with capacity for 800 students </w:t>
      </w:r>
      <w:r w:rsidR="004E54DB">
        <w:rPr>
          <w:szCs w:val="24"/>
        </w:rPr>
        <w:t xml:space="preserve">following decommission of the </w:t>
      </w:r>
      <w:r w:rsidR="004E54DB" w:rsidRPr="005C7DA9">
        <w:rPr>
          <w:szCs w:val="24"/>
        </w:rPr>
        <w:t xml:space="preserve">Mill Lane Lecture </w:t>
      </w:r>
      <w:r w:rsidR="004E54DB">
        <w:rPr>
          <w:szCs w:val="24"/>
        </w:rPr>
        <w:t>Block</w:t>
      </w:r>
      <w:r w:rsidR="005201FD">
        <w:rPr>
          <w:szCs w:val="24"/>
        </w:rPr>
        <w:t xml:space="preserve">, </w:t>
      </w:r>
      <w:r w:rsidR="004E54DB">
        <w:rPr>
          <w:szCs w:val="24"/>
        </w:rPr>
        <w:t xml:space="preserve">will place increasing pressures on remaining teaching space.  </w:t>
      </w:r>
    </w:p>
    <w:p w14:paraId="1D5AF25A" w14:textId="2951C95C" w:rsidR="009E102C" w:rsidRDefault="009E102C" w:rsidP="008F7F41">
      <w:pPr>
        <w:rPr>
          <w:szCs w:val="24"/>
        </w:rPr>
      </w:pPr>
      <w:r>
        <w:rPr>
          <w:szCs w:val="24"/>
        </w:rPr>
        <w:t>A</w:t>
      </w:r>
      <w:r w:rsidRPr="009E102C">
        <w:rPr>
          <w:szCs w:val="24"/>
        </w:rPr>
        <w:t>n absence of University-wide management information about the academic timetable and room availability has meant that facilities, service, support, and access to centrally bookable rooms and rooms in other Departments varies considerably across the estate.</w:t>
      </w:r>
    </w:p>
    <w:p w14:paraId="1115CA67" w14:textId="118757E3" w:rsidR="00946F92" w:rsidRDefault="001F1D95" w:rsidP="00953428">
      <w:pPr>
        <w:rPr>
          <w:szCs w:val="24"/>
        </w:rPr>
      </w:pPr>
      <w:r w:rsidRPr="001F1D95">
        <w:rPr>
          <w:szCs w:val="24"/>
        </w:rPr>
        <w:t>Demands on capital investment are very high - the Capital Plan contains projects with an estimated cost of £2.4bn.</w:t>
      </w:r>
      <w:r>
        <w:rPr>
          <w:szCs w:val="24"/>
        </w:rPr>
        <w:t xml:space="preserve">  </w:t>
      </w:r>
      <w:r w:rsidR="00946F92" w:rsidRPr="009E102C">
        <w:rPr>
          <w:szCs w:val="24"/>
        </w:rPr>
        <w:t xml:space="preserve">Annual operating costs are increasing year on year, with costs in excess of £20m in 2014/15.  </w:t>
      </w:r>
    </w:p>
    <w:p w14:paraId="43F27ED2" w14:textId="69E7078A" w:rsidR="0081483C" w:rsidRDefault="0081483C" w:rsidP="00953428">
      <w:pPr>
        <w:rPr>
          <w:szCs w:val="24"/>
        </w:rPr>
      </w:pPr>
      <w:r w:rsidRPr="004B51FE">
        <w:rPr>
          <w:szCs w:val="24"/>
        </w:rPr>
        <w:t>In October 2016, the University adopted a ‘Strategic Framework for t</w:t>
      </w:r>
      <w:r w:rsidR="00F47D43">
        <w:rPr>
          <w:szCs w:val="24"/>
        </w:rPr>
        <w:t>he Development of the Estate’, the s</w:t>
      </w:r>
      <w:r w:rsidR="004164F5" w:rsidRPr="004164F5">
        <w:rPr>
          <w:szCs w:val="24"/>
        </w:rPr>
        <w:t xml:space="preserve">uccessful delivery of </w:t>
      </w:r>
      <w:r w:rsidR="00F47D43">
        <w:rPr>
          <w:szCs w:val="24"/>
        </w:rPr>
        <w:t>which</w:t>
      </w:r>
      <w:r w:rsidR="004164F5" w:rsidRPr="004164F5">
        <w:rPr>
          <w:szCs w:val="24"/>
        </w:rPr>
        <w:t xml:space="preserve"> requires a change in the way we use, refurbish, and build our estate.  </w:t>
      </w:r>
      <w:r w:rsidRPr="0081483C">
        <w:rPr>
          <w:szCs w:val="24"/>
        </w:rPr>
        <w:t xml:space="preserve">Previous </w:t>
      </w:r>
      <w:r w:rsidR="005201FD">
        <w:rPr>
          <w:szCs w:val="24"/>
        </w:rPr>
        <w:t>v</w:t>
      </w:r>
      <w:r w:rsidR="005201FD" w:rsidRPr="0081483C">
        <w:rPr>
          <w:szCs w:val="24"/>
        </w:rPr>
        <w:t xml:space="preserve">isions </w:t>
      </w:r>
      <w:r w:rsidRPr="0081483C">
        <w:rPr>
          <w:szCs w:val="24"/>
        </w:rPr>
        <w:t xml:space="preserve">for the </w:t>
      </w:r>
      <w:r w:rsidR="005201FD">
        <w:rPr>
          <w:szCs w:val="24"/>
        </w:rPr>
        <w:t>e</w:t>
      </w:r>
      <w:r w:rsidR="005201FD" w:rsidRPr="0081483C">
        <w:rPr>
          <w:szCs w:val="24"/>
        </w:rPr>
        <w:t xml:space="preserve">state </w:t>
      </w:r>
      <w:r w:rsidRPr="0081483C">
        <w:rPr>
          <w:szCs w:val="24"/>
        </w:rPr>
        <w:t xml:space="preserve">have focused on short-term horizons and </w:t>
      </w:r>
      <w:r w:rsidR="00F47D43">
        <w:rPr>
          <w:szCs w:val="24"/>
        </w:rPr>
        <w:t xml:space="preserve">have </w:t>
      </w:r>
      <w:r w:rsidRPr="0081483C">
        <w:rPr>
          <w:szCs w:val="24"/>
        </w:rPr>
        <w:t>been divorced from the</w:t>
      </w:r>
      <w:r w:rsidR="005201FD">
        <w:rPr>
          <w:szCs w:val="24"/>
        </w:rPr>
        <w:t xml:space="preserve"> University’s</w:t>
      </w:r>
      <w:r w:rsidRPr="0081483C">
        <w:rPr>
          <w:szCs w:val="24"/>
        </w:rPr>
        <w:t xml:space="preserve"> education strategy</w:t>
      </w:r>
      <w:r w:rsidR="00F259C5">
        <w:rPr>
          <w:szCs w:val="24"/>
        </w:rPr>
        <w:t>.  T</w:t>
      </w:r>
      <w:r w:rsidR="00F47D43">
        <w:rPr>
          <w:szCs w:val="24"/>
        </w:rPr>
        <w:t>his will no longer be the case.</w:t>
      </w:r>
      <w:r w:rsidR="00A476BE">
        <w:rPr>
          <w:szCs w:val="24"/>
        </w:rPr>
        <w:t xml:space="preserve"> </w:t>
      </w:r>
      <w:r w:rsidR="00F259C5">
        <w:rPr>
          <w:szCs w:val="24"/>
        </w:rPr>
        <w:t xml:space="preserve"> </w:t>
      </w:r>
      <w:r w:rsidR="00F47D43">
        <w:rPr>
          <w:szCs w:val="24"/>
        </w:rPr>
        <w:t xml:space="preserve">The need to support world-class </w:t>
      </w:r>
      <w:r w:rsidR="00AC63DB">
        <w:rPr>
          <w:szCs w:val="24"/>
        </w:rPr>
        <w:t xml:space="preserve">education </w:t>
      </w:r>
      <w:r w:rsidR="00F47D43">
        <w:rPr>
          <w:szCs w:val="24"/>
        </w:rPr>
        <w:t xml:space="preserve">is </w:t>
      </w:r>
      <w:r w:rsidR="00BE4F7E">
        <w:rPr>
          <w:szCs w:val="24"/>
        </w:rPr>
        <w:t xml:space="preserve">now </w:t>
      </w:r>
      <w:r w:rsidR="00F47D43">
        <w:rPr>
          <w:szCs w:val="24"/>
        </w:rPr>
        <w:t>at the heart of the new framework</w:t>
      </w:r>
      <w:r w:rsidR="004164F5">
        <w:rPr>
          <w:szCs w:val="24"/>
        </w:rPr>
        <w:t>.</w:t>
      </w:r>
    </w:p>
    <w:p w14:paraId="75CF0A22" w14:textId="59A1F3CA" w:rsidR="00966C05" w:rsidRDefault="00374755">
      <w:r>
        <w:t>To ensure better governance, the Programme Board for Education Space was e</w:t>
      </w:r>
      <w:r w:rsidR="00E62BA3">
        <w:t>stablished in January 2017</w:t>
      </w:r>
      <w:r w:rsidR="002F208A">
        <w:t xml:space="preserve"> (hereafter known as t</w:t>
      </w:r>
      <w:r w:rsidR="005D7712">
        <w:t>he Board)</w:t>
      </w:r>
      <w:r>
        <w:t>.  This document summarises the work of the Board.</w:t>
      </w:r>
    </w:p>
    <w:p w14:paraId="7040F8D2" w14:textId="0C346798" w:rsidR="00887CD0" w:rsidRDefault="0074147A" w:rsidP="00887CD0">
      <w:pPr>
        <w:pStyle w:val="Title"/>
      </w:pPr>
      <w:bookmarkStart w:id="3" w:name="_Toc491781074"/>
      <w:r>
        <w:lastRenderedPageBreak/>
        <w:t>B</w:t>
      </w:r>
      <w:r w:rsidR="004E54DB">
        <w:t xml:space="preserve">: </w:t>
      </w:r>
      <w:r w:rsidR="00270044">
        <w:t xml:space="preserve">The </w:t>
      </w:r>
      <w:r w:rsidR="00887CD0">
        <w:t>Programme Board</w:t>
      </w:r>
      <w:r w:rsidR="00270044">
        <w:t xml:space="preserve"> for Education Space</w:t>
      </w:r>
      <w:bookmarkEnd w:id="3"/>
    </w:p>
    <w:p w14:paraId="6F69374D" w14:textId="1EF2C8EB" w:rsidR="006B3564" w:rsidRDefault="00F704C9" w:rsidP="00C027FD">
      <w:pPr>
        <w:pStyle w:val="Heading1"/>
        <w:spacing w:line="276" w:lineRule="auto"/>
      </w:pPr>
      <w:bookmarkStart w:id="4" w:name="_Toc491781075"/>
      <w:r>
        <w:t xml:space="preserve">The Role of </w:t>
      </w:r>
      <w:r w:rsidR="00766004">
        <w:t>the Programme B</w:t>
      </w:r>
      <w:r w:rsidR="006B3564">
        <w:t>oard</w:t>
      </w:r>
      <w:bookmarkEnd w:id="4"/>
      <w:r w:rsidR="00060361">
        <w:t xml:space="preserve"> </w:t>
      </w:r>
    </w:p>
    <w:p w14:paraId="75DE8D49" w14:textId="35126A45" w:rsidR="00F704C9" w:rsidRDefault="00C81189" w:rsidP="00F704C9">
      <w:pPr>
        <w:spacing w:line="276" w:lineRule="auto"/>
        <w:rPr>
          <w:szCs w:val="24"/>
        </w:rPr>
      </w:pPr>
      <w:r>
        <w:rPr>
          <w:szCs w:val="24"/>
        </w:rPr>
        <w:t>Until further notice, t</w:t>
      </w:r>
      <w:r w:rsidR="00374755">
        <w:rPr>
          <w:szCs w:val="24"/>
        </w:rPr>
        <w:t>he</w:t>
      </w:r>
      <w:r w:rsidR="006B3564" w:rsidRPr="00B91E64">
        <w:rPr>
          <w:szCs w:val="24"/>
        </w:rPr>
        <w:t xml:space="preserve"> </w:t>
      </w:r>
      <w:r w:rsidR="00F704C9">
        <w:rPr>
          <w:szCs w:val="24"/>
        </w:rPr>
        <w:t xml:space="preserve">primary role of the </w:t>
      </w:r>
      <w:r w:rsidR="006B3564" w:rsidRPr="00B91E64">
        <w:rPr>
          <w:szCs w:val="24"/>
        </w:rPr>
        <w:t xml:space="preserve">Board </w:t>
      </w:r>
      <w:r w:rsidR="00F704C9" w:rsidRPr="00F704C9">
        <w:rPr>
          <w:szCs w:val="24"/>
        </w:rPr>
        <w:t>is to be the governance body of education space and within that role its focus will be</w:t>
      </w:r>
      <w:r w:rsidR="00D0629B">
        <w:rPr>
          <w:szCs w:val="24"/>
        </w:rPr>
        <w:t>:</w:t>
      </w:r>
    </w:p>
    <w:p w14:paraId="1B239025" w14:textId="3BA3933E" w:rsidR="00F704C9" w:rsidRPr="00F704C9" w:rsidRDefault="00F704C9" w:rsidP="006C65D7">
      <w:pPr>
        <w:pStyle w:val="ListParagraph"/>
        <w:numPr>
          <w:ilvl w:val="0"/>
          <w:numId w:val="25"/>
        </w:numPr>
        <w:ind w:left="641" w:hanging="357"/>
        <w:rPr>
          <w:szCs w:val="24"/>
        </w:rPr>
      </w:pPr>
      <w:r w:rsidRPr="00F704C9">
        <w:rPr>
          <w:szCs w:val="24"/>
        </w:rPr>
        <w:t xml:space="preserve">To </w:t>
      </w:r>
      <w:r w:rsidR="006225D3">
        <w:rPr>
          <w:szCs w:val="24"/>
        </w:rPr>
        <w:t xml:space="preserve">govern </w:t>
      </w:r>
      <w:r w:rsidRPr="00F704C9">
        <w:rPr>
          <w:szCs w:val="24"/>
        </w:rPr>
        <w:t xml:space="preserve">a programme of work that enables delivery of the </w:t>
      </w:r>
      <w:r w:rsidR="004C21F4">
        <w:rPr>
          <w:szCs w:val="24"/>
        </w:rPr>
        <w:t>V</w:t>
      </w:r>
      <w:r w:rsidRPr="00F704C9">
        <w:rPr>
          <w:szCs w:val="24"/>
        </w:rPr>
        <w:t>ision</w:t>
      </w:r>
      <w:r w:rsidR="004C21F4">
        <w:rPr>
          <w:szCs w:val="24"/>
        </w:rPr>
        <w:t xml:space="preserve"> for Education Space</w:t>
      </w:r>
    </w:p>
    <w:p w14:paraId="3A21A5BD" w14:textId="0D548107" w:rsidR="00270044" w:rsidRDefault="00270044" w:rsidP="006C65D7">
      <w:pPr>
        <w:pStyle w:val="ListParagraph"/>
        <w:numPr>
          <w:ilvl w:val="0"/>
          <w:numId w:val="25"/>
        </w:numPr>
        <w:ind w:left="641" w:hanging="357"/>
        <w:rPr>
          <w:szCs w:val="24"/>
        </w:rPr>
      </w:pPr>
      <w:r w:rsidRPr="00270044">
        <w:rPr>
          <w:szCs w:val="24"/>
        </w:rPr>
        <w:t xml:space="preserve">To </w:t>
      </w:r>
      <w:r w:rsidR="00BF06FC">
        <w:rPr>
          <w:szCs w:val="24"/>
        </w:rPr>
        <w:t xml:space="preserve">engage with </w:t>
      </w:r>
      <w:r w:rsidRPr="00270044">
        <w:rPr>
          <w:szCs w:val="24"/>
        </w:rPr>
        <w:t>Schools, Faculties and Departments</w:t>
      </w:r>
      <w:r>
        <w:rPr>
          <w:szCs w:val="24"/>
        </w:rPr>
        <w:t>,</w:t>
      </w:r>
      <w:r w:rsidRPr="00270044">
        <w:rPr>
          <w:szCs w:val="24"/>
        </w:rPr>
        <w:t xml:space="preserve"> as well as relevant individuals</w:t>
      </w:r>
      <w:r w:rsidR="00BF06FC">
        <w:rPr>
          <w:szCs w:val="24"/>
        </w:rPr>
        <w:t>, on the programme of work, and to communicate progress</w:t>
      </w:r>
    </w:p>
    <w:p w14:paraId="6CB84B7C" w14:textId="7DE6924D" w:rsidR="00270044" w:rsidRPr="00F704C9" w:rsidRDefault="00270044" w:rsidP="006C65D7">
      <w:pPr>
        <w:pStyle w:val="ListParagraph"/>
        <w:numPr>
          <w:ilvl w:val="0"/>
          <w:numId w:val="25"/>
        </w:numPr>
        <w:ind w:left="641" w:hanging="357"/>
        <w:rPr>
          <w:szCs w:val="24"/>
        </w:rPr>
      </w:pPr>
      <w:r w:rsidRPr="00F704C9">
        <w:rPr>
          <w:szCs w:val="24"/>
        </w:rPr>
        <w:t xml:space="preserve">To address needs relating to the </w:t>
      </w:r>
      <w:r>
        <w:rPr>
          <w:szCs w:val="24"/>
        </w:rPr>
        <w:t xml:space="preserve">organisational, process and systems </w:t>
      </w:r>
      <w:r w:rsidRPr="00F704C9">
        <w:rPr>
          <w:szCs w:val="24"/>
        </w:rPr>
        <w:t xml:space="preserve">infrastructure to support delivery of the programme, </w:t>
      </w:r>
      <w:r>
        <w:rPr>
          <w:szCs w:val="24"/>
        </w:rPr>
        <w:t xml:space="preserve">e.g. </w:t>
      </w:r>
      <w:r w:rsidRPr="00F704C9">
        <w:rPr>
          <w:szCs w:val="24"/>
        </w:rPr>
        <w:t>a room booking system</w:t>
      </w:r>
    </w:p>
    <w:p w14:paraId="56B25BED" w14:textId="11878CFC" w:rsidR="00F704C9" w:rsidRPr="00F704C9" w:rsidRDefault="00F704C9" w:rsidP="006C65D7">
      <w:pPr>
        <w:pStyle w:val="ListParagraph"/>
        <w:numPr>
          <w:ilvl w:val="0"/>
          <w:numId w:val="25"/>
        </w:numPr>
        <w:ind w:left="641" w:hanging="357"/>
        <w:rPr>
          <w:szCs w:val="24"/>
        </w:rPr>
      </w:pPr>
      <w:r w:rsidRPr="00F704C9">
        <w:rPr>
          <w:szCs w:val="24"/>
        </w:rPr>
        <w:t xml:space="preserve">To address urgent needs relating to current </w:t>
      </w:r>
      <w:r w:rsidR="00C81189">
        <w:rPr>
          <w:szCs w:val="24"/>
        </w:rPr>
        <w:t xml:space="preserve">or intended </w:t>
      </w:r>
      <w:r w:rsidRPr="00F704C9">
        <w:rPr>
          <w:szCs w:val="24"/>
        </w:rPr>
        <w:t>developments</w:t>
      </w:r>
      <w:r w:rsidR="00C81189">
        <w:rPr>
          <w:szCs w:val="24"/>
        </w:rPr>
        <w:t xml:space="preserve">, e.g. the </w:t>
      </w:r>
      <w:r w:rsidRPr="00F704C9">
        <w:rPr>
          <w:szCs w:val="24"/>
        </w:rPr>
        <w:t xml:space="preserve">New Museums Site, Sidgwick </w:t>
      </w:r>
      <w:r w:rsidR="00C81189">
        <w:rPr>
          <w:szCs w:val="24"/>
        </w:rPr>
        <w:t xml:space="preserve">Site, West Cambridge, </w:t>
      </w:r>
      <w:proofErr w:type="spellStart"/>
      <w:r w:rsidR="00C81189">
        <w:rPr>
          <w:szCs w:val="24"/>
        </w:rPr>
        <w:t>Biocentrum</w:t>
      </w:r>
      <w:proofErr w:type="spellEnd"/>
    </w:p>
    <w:p w14:paraId="6B956EE0" w14:textId="77777777" w:rsidR="00270044" w:rsidRDefault="00F704C9" w:rsidP="006C65D7">
      <w:pPr>
        <w:pStyle w:val="ListParagraph"/>
        <w:numPr>
          <w:ilvl w:val="0"/>
          <w:numId w:val="25"/>
        </w:numPr>
        <w:ind w:left="641" w:hanging="357"/>
        <w:rPr>
          <w:szCs w:val="24"/>
        </w:rPr>
      </w:pPr>
      <w:r w:rsidRPr="00F704C9">
        <w:rPr>
          <w:szCs w:val="24"/>
        </w:rPr>
        <w:t>To comment on requests presented from the Minor Works Committee.</w:t>
      </w:r>
    </w:p>
    <w:p w14:paraId="7A8E9B97" w14:textId="77777777" w:rsidR="00D0629B" w:rsidRPr="00270044" w:rsidRDefault="00D0629B" w:rsidP="00D0629B">
      <w:pPr>
        <w:pStyle w:val="Heading1"/>
        <w:rPr>
          <w:szCs w:val="24"/>
        </w:rPr>
      </w:pPr>
      <w:bookmarkStart w:id="5" w:name="_Toc491781076"/>
      <w:r>
        <w:t>Scope</w:t>
      </w:r>
      <w:bookmarkEnd w:id="5"/>
    </w:p>
    <w:p w14:paraId="65E90A74" w14:textId="1E83A366" w:rsidR="00D0629B" w:rsidRDefault="00F259C5" w:rsidP="00D0629B">
      <w:r>
        <w:t>The B</w:t>
      </w:r>
      <w:r w:rsidR="00A476BE">
        <w:t xml:space="preserve">oard’s remit covers all education space across the University estate, and its work is focused on improving the use of space, data capture, systems, </w:t>
      </w:r>
      <w:r>
        <w:t>services,</w:t>
      </w:r>
      <w:r w:rsidR="00A476BE">
        <w:t xml:space="preserve"> and quality</w:t>
      </w:r>
      <w:r w:rsidR="00D0629B" w:rsidRPr="004207E8">
        <w:t>.</w:t>
      </w:r>
      <w:r w:rsidR="00A476BE">
        <w:t xml:space="preserve"> </w:t>
      </w:r>
      <w:r>
        <w:t xml:space="preserve"> </w:t>
      </w:r>
      <w:r w:rsidR="00A476BE">
        <w:t xml:space="preserve">The </w:t>
      </w:r>
      <w:r>
        <w:t>B</w:t>
      </w:r>
      <w:r w:rsidR="00A476BE">
        <w:t>oard also recognises that it may have to collaborate with the Colleges – defined as out of scope – to achieve its long-term vision for education space.</w:t>
      </w:r>
    </w:p>
    <w:p w14:paraId="019AE9EE" w14:textId="1FBF63BD" w:rsidR="005E2D79" w:rsidRDefault="005E2D79" w:rsidP="00270044">
      <w:pPr>
        <w:pStyle w:val="Heading1"/>
      </w:pPr>
      <w:bookmarkStart w:id="6" w:name="_Toc491781077"/>
      <w:r>
        <w:t>Guiding Principles</w:t>
      </w:r>
      <w:bookmarkEnd w:id="6"/>
    </w:p>
    <w:p w14:paraId="510FF35B" w14:textId="77777777" w:rsidR="005E2D79" w:rsidRPr="005E2D79" w:rsidRDefault="005E2D79" w:rsidP="006C65D7">
      <w:pPr>
        <w:pStyle w:val="NumerPara"/>
      </w:pPr>
      <w:r w:rsidRPr="005E2D79">
        <w:t>Steward, coordinate and promote the development of high-quality, identifiable and accessible education space to support the University in:</w:t>
      </w:r>
    </w:p>
    <w:p w14:paraId="6BF7C64B" w14:textId="77777777" w:rsidR="005E2D79" w:rsidRPr="005E2D79" w:rsidRDefault="005E2D79" w:rsidP="006C65D7">
      <w:pPr>
        <w:pStyle w:val="ListParagraph"/>
      </w:pPr>
      <w:r w:rsidRPr="005E2D79">
        <w:t>Attracting the brightest students and teaching staff</w:t>
      </w:r>
    </w:p>
    <w:p w14:paraId="1B7F1C17" w14:textId="77777777" w:rsidR="005E2D79" w:rsidRPr="005E2D79" w:rsidRDefault="005E2D79" w:rsidP="006C65D7">
      <w:pPr>
        <w:pStyle w:val="ListParagraph"/>
      </w:pPr>
      <w:r w:rsidRPr="005E2D79">
        <w:t>Encouraging the physical interaction between people, and across disciplines, that is necessary for world-class study and discovery.</w:t>
      </w:r>
    </w:p>
    <w:p w14:paraId="2B318553" w14:textId="4CDE9CEA" w:rsidR="005E2D79" w:rsidRPr="005E2D79" w:rsidRDefault="008233DF" w:rsidP="008233DF">
      <w:pPr>
        <w:pStyle w:val="NumerPara"/>
      </w:pPr>
      <w:r w:rsidRPr="008233DF">
        <w:t>Promote the benefits to the University and the academic community of improving the quality of education spaces and encouraging their more efficient use in a c</w:t>
      </w:r>
      <w:r>
        <w:t>apital-constrained environment</w:t>
      </w:r>
      <w:r w:rsidR="005E2D79" w:rsidRPr="005E2D79">
        <w:t>:</w:t>
      </w:r>
    </w:p>
    <w:p w14:paraId="684C91E7" w14:textId="77777777" w:rsidR="009A0465" w:rsidRPr="005E2D79" w:rsidRDefault="009A0465" w:rsidP="009A0465">
      <w:pPr>
        <w:numPr>
          <w:ilvl w:val="0"/>
          <w:numId w:val="36"/>
        </w:numPr>
        <w:spacing w:after="0"/>
        <w:ind w:left="714" w:hanging="357"/>
      </w:pPr>
      <w:r>
        <w:t xml:space="preserve">The </w:t>
      </w:r>
      <w:r w:rsidRPr="005E2D79">
        <w:t>University needs to take a judicious approach to capital development over the long term.  Making sure that our spaces are open, sharable and used efficiently ultimately reduces demand to undertake expensive building projects.</w:t>
      </w:r>
    </w:p>
    <w:p w14:paraId="25D48736" w14:textId="325069B0" w:rsidR="005E2D79" w:rsidRPr="005E2D79" w:rsidRDefault="009A0465" w:rsidP="00F259C5">
      <w:pPr>
        <w:numPr>
          <w:ilvl w:val="0"/>
          <w:numId w:val="36"/>
        </w:numPr>
        <w:spacing w:after="0"/>
      </w:pPr>
      <w:r>
        <w:t xml:space="preserve">Using space </w:t>
      </w:r>
      <w:r w:rsidRPr="009A0465">
        <w:t>more efficiently so that teaching utilisation rates increase</w:t>
      </w:r>
      <w:r w:rsidR="00F259C5" w:rsidRPr="00F259C5">
        <w:t xml:space="preserve"> by 20% by 2021</w:t>
      </w:r>
      <w:r w:rsidR="00632105">
        <w:t>.</w:t>
      </w:r>
    </w:p>
    <w:p w14:paraId="6D11FD07" w14:textId="1A75D89C" w:rsidR="005E2D79" w:rsidRPr="005E2D79" w:rsidRDefault="005E2D79" w:rsidP="009A0465">
      <w:pPr>
        <w:pStyle w:val="NumerPara"/>
        <w:ind w:left="357" w:hanging="357"/>
      </w:pPr>
      <w:r w:rsidRPr="005E2D79">
        <w:t>Respond to individual academic and departmental needs, and customise services and support accordingly</w:t>
      </w:r>
      <w:r w:rsidR="009A0465">
        <w:t>:</w:t>
      </w:r>
    </w:p>
    <w:p w14:paraId="6624F0A6" w14:textId="77777777" w:rsidR="005E2D79" w:rsidRPr="005E2D79" w:rsidRDefault="005E2D79" w:rsidP="005E2D79">
      <w:pPr>
        <w:numPr>
          <w:ilvl w:val="0"/>
          <w:numId w:val="37"/>
        </w:numPr>
        <w:spacing w:after="0"/>
        <w:ind w:left="714" w:hanging="357"/>
      </w:pPr>
      <w:r w:rsidRPr="005E2D79">
        <w:t>Assist those departments who urgently need access to education space – for example, those impacted by the closure of lecture theatres or building work</w:t>
      </w:r>
    </w:p>
    <w:p w14:paraId="3230FAEE" w14:textId="77777777" w:rsidR="005E2D79" w:rsidRPr="005E2D79" w:rsidRDefault="005E2D79" w:rsidP="005E2D79">
      <w:pPr>
        <w:numPr>
          <w:ilvl w:val="0"/>
          <w:numId w:val="37"/>
        </w:numPr>
        <w:spacing w:after="0"/>
        <w:ind w:left="714" w:hanging="357"/>
      </w:pPr>
      <w:r w:rsidRPr="005E2D79">
        <w:t>Introduce a University-wide room-booking tool</w:t>
      </w:r>
    </w:p>
    <w:p w14:paraId="1C174226" w14:textId="7A698978" w:rsidR="005E2D79" w:rsidRPr="005E2D79" w:rsidRDefault="005E2D79" w:rsidP="005E2D79">
      <w:pPr>
        <w:numPr>
          <w:ilvl w:val="0"/>
          <w:numId w:val="37"/>
        </w:numPr>
        <w:spacing w:after="0"/>
        <w:ind w:left="714" w:hanging="357"/>
      </w:pPr>
      <w:r w:rsidRPr="005E2D79">
        <w:t xml:space="preserve">Engage, </w:t>
      </w:r>
      <w:r w:rsidR="005D7712">
        <w:t>listen, and respond to School, Faculty and D</w:t>
      </w:r>
      <w:r w:rsidRPr="005E2D79">
        <w:t>epartmental queries and concerns.</w:t>
      </w:r>
    </w:p>
    <w:p w14:paraId="2353E3BF" w14:textId="77777777" w:rsidR="005E2D79" w:rsidRPr="005E2D79" w:rsidRDefault="005E2D79" w:rsidP="009A0465">
      <w:pPr>
        <w:pStyle w:val="NumerPara"/>
        <w:ind w:left="357" w:hanging="357"/>
        <w:contextualSpacing w:val="0"/>
      </w:pPr>
      <w:r w:rsidRPr="005E2D79">
        <w:lastRenderedPageBreak/>
        <w:t>Develop a robust, up-to-date information base to ensure that any change to the way space is used or managed is informed by appropriate data and insight.</w:t>
      </w:r>
    </w:p>
    <w:p w14:paraId="2438704E" w14:textId="77777777" w:rsidR="005E2D79" w:rsidRPr="005E2D79" w:rsidRDefault="005E2D79" w:rsidP="009A0465">
      <w:pPr>
        <w:pStyle w:val="NumerPara"/>
        <w:ind w:left="357" w:hanging="357"/>
        <w:contextualSpacing w:val="0"/>
      </w:pPr>
      <w:r w:rsidRPr="005E2D79">
        <w:t xml:space="preserve">Support and </w:t>
      </w:r>
      <w:proofErr w:type="gramStart"/>
      <w:r w:rsidRPr="005E2D79">
        <w:t>advise</w:t>
      </w:r>
      <w:proofErr w:type="gramEnd"/>
      <w:r w:rsidRPr="005E2D79">
        <w:t xml:space="preserve"> the General Board in this work, which has committed to improving the use and management of education space across the University.</w:t>
      </w:r>
    </w:p>
    <w:p w14:paraId="44D2C06E" w14:textId="77777777" w:rsidR="00D0629B" w:rsidRPr="009E102C" w:rsidRDefault="00D0629B" w:rsidP="00D0629B">
      <w:pPr>
        <w:pStyle w:val="Heading1"/>
      </w:pPr>
      <w:bookmarkStart w:id="7" w:name="_Toc491781078"/>
      <w:r>
        <w:t>Success Criteria</w:t>
      </w:r>
      <w:bookmarkEnd w:id="7"/>
    </w:p>
    <w:p w14:paraId="642D27A2" w14:textId="77777777" w:rsidR="00D0629B" w:rsidRPr="00966C05" w:rsidRDefault="00D0629B" w:rsidP="00D0629B">
      <w:r>
        <w:t xml:space="preserve">The work of the Board will be complete when </w:t>
      </w:r>
      <w:r w:rsidRPr="00966C05">
        <w:t xml:space="preserve">these statements </w:t>
      </w:r>
      <w:r>
        <w:t>are</w:t>
      </w:r>
      <w:r w:rsidRPr="00966C05">
        <w:t xml:space="preserve"> true.</w:t>
      </w:r>
    </w:p>
    <w:tbl>
      <w:tblPr>
        <w:tblStyle w:val="TableGrid"/>
        <w:tblW w:w="10066" w:type="dxa"/>
        <w:tblLook w:val="04A0" w:firstRow="1" w:lastRow="0" w:firstColumn="1" w:lastColumn="0" w:noHBand="0" w:noVBand="1"/>
      </w:tblPr>
      <w:tblGrid>
        <w:gridCol w:w="3334"/>
        <w:gridCol w:w="235"/>
        <w:gridCol w:w="3127"/>
        <w:gridCol w:w="236"/>
        <w:gridCol w:w="3134"/>
      </w:tblGrid>
      <w:tr w:rsidR="00D0629B" w:rsidRPr="00966C05" w14:paraId="32BC5E07" w14:textId="77777777" w:rsidTr="00353EBB">
        <w:tc>
          <w:tcPr>
            <w:tcW w:w="3334" w:type="dxa"/>
            <w:shd w:val="clear" w:color="auto" w:fill="DFD7E7" w:themeFill="accent5" w:themeFillTint="33"/>
          </w:tcPr>
          <w:p w14:paraId="33564C5E" w14:textId="77777777" w:rsidR="00D0629B" w:rsidRPr="00D0629B" w:rsidRDefault="00D0629B" w:rsidP="00353EBB">
            <w:pPr>
              <w:spacing w:after="160" w:line="259" w:lineRule="auto"/>
              <w:jc w:val="center"/>
              <w:rPr>
                <w:b/>
              </w:rPr>
            </w:pPr>
            <w:r w:rsidRPr="00D0629B">
              <w:rPr>
                <w:b/>
              </w:rPr>
              <w:t>Education Ambition</w:t>
            </w:r>
          </w:p>
        </w:tc>
        <w:tc>
          <w:tcPr>
            <w:tcW w:w="235" w:type="dxa"/>
            <w:tcBorders>
              <w:top w:val="nil"/>
              <w:bottom w:val="nil"/>
            </w:tcBorders>
          </w:tcPr>
          <w:p w14:paraId="10BC75D0" w14:textId="77777777" w:rsidR="00D0629B" w:rsidRPr="00D0629B" w:rsidRDefault="00D0629B" w:rsidP="00353EBB">
            <w:pPr>
              <w:spacing w:after="160" w:line="259" w:lineRule="auto"/>
              <w:jc w:val="center"/>
              <w:rPr>
                <w:b/>
              </w:rPr>
            </w:pPr>
          </w:p>
        </w:tc>
        <w:tc>
          <w:tcPr>
            <w:tcW w:w="3127" w:type="dxa"/>
            <w:shd w:val="clear" w:color="auto" w:fill="D2CAB6" w:themeFill="background2" w:themeFillShade="E6"/>
          </w:tcPr>
          <w:p w14:paraId="290060DD" w14:textId="77777777" w:rsidR="00D0629B" w:rsidRPr="00D0629B" w:rsidRDefault="00D0629B" w:rsidP="00353EBB">
            <w:pPr>
              <w:spacing w:after="160" w:line="259" w:lineRule="auto"/>
              <w:jc w:val="center"/>
              <w:rPr>
                <w:b/>
              </w:rPr>
            </w:pPr>
            <w:r w:rsidRPr="00D0629B">
              <w:rPr>
                <w:b/>
              </w:rPr>
              <w:t>Function &amp; Facilities</w:t>
            </w:r>
          </w:p>
        </w:tc>
        <w:tc>
          <w:tcPr>
            <w:tcW w:w="236" w:type="dxa"/>
            <w:tcBorders>
              <w:top w:val="nil"/>
              <w:bottom w:val="nil"/>
            </w:tcBorders>
          </w:tcPr>
          <w:p w14:paraId="0E90CFE3" w14:textId="77777777" w:rsidR="00D0629B" w:rsidRPr="00D0629B" w:rsidRDefault="00D0629B" w:rsidP="00353EBB">
            <w:pPr>
              <w:spacing w:after="160" w:line="259" w:lineRule="auto"/>
              <w:jc w:val="center"/>
              <w:rPr>
                <w:b/>
              </w:rPr>
            </w:pPr>
          </w:p>
        </w:tc>
        <w:tc>
          <w:tcPr>
            <w:tcW w:w="3134" w:type="dxa"/>
            <w:shd w:val="clear" w:color="auto" w:fill="C3E0F2" w:themeFill="accent3" w:themeFillTint="33"/>
          </w:tcPr>
          <w:p w14:paraId="6483E385" w14:textId="77777777" w:rsidR="00D0629B" w:rsidRPr="00D0629B" w:rsidRDefault="00D0629B" w:rsidP="00353EBB">
            <w:pPr>
              <w:spacing w:after="160" w:line="259" w:lineRule="auto"/>
              <w:jc w:val="center"/>
              <w:rPr>
                <w:b/>
              </w:rPr>
            </w:pPr>
            <w:r w:rsidRPr="00D0629B">
              <w:rPr>
                <w:b/>
              </w:rPr>
              <w:t>Efficient &amp; Effective Estate</w:t>
            </w:r>
          </w:p>
        </w:tc>
      </w:tr>
      <w:tr w:rsidR="00D0629B" w:rsidRPr="00966C05" w14:paraId="5BFF42FD" w14:textId="77777777" w:rsidTr="00353EBB">
        <w:tc>
          <w:tcPr>
            <w:tcW w:w="3334" w:type="dxa"/>
            <w:shd w:val="clear" w:color="auto" w:fill="DFD7E7" w:themeFill="accent5" w:themeFillTint="33"/>
          </w:tcPr>
          <w:p w14:paraId="7F6FFDEB" w14:textId="296A35A5" w:rsidR="00D0629B" w:rsidRPr="00966C05" w:rsidRDefault="00D0629B" w:rsidP="00353EBB">
            <w:pPr>
              <w:spacing w:after="160" w:line="259" w:lineRule="auto"/>
            </w:pPr>
            <w:r w:rsidRPr="00966C05">
              <w:t xml:space="preserve">There is a comprehensive understanding of the education that occurs across all Schools </w:t>
            </w:r>
          </w:p>
        </w:tc>
        <w:tc>
          <w:tcPr>
            <w:tcW w:w="235" w:type="dxa"/>
            <w:tcBorders>
              <w:top w:val="nil"/>
              <w:bottom w:val="nil"/>
            </w:tcBorders>
          </w:tcPr>
          <w:p w14:paraId="066D163D" w14:textId="77777777" w:rsidR="00D0629B" w:rsidRPr="00966C05" w:rsidRDefault="00D0629B" w:rsidP="00353EBB">
            <w:pPr>
              <w:spacing w:after="160" w:line="259" w:lineRule="auto"/>
            </w:pPr>
          </w:p>
        </w:tc>
        <w:tc>
          <w:tcPr>
            <w:tcW w:w="3127" w:type="dxa"/>
            <w:shd w:val="clear" w:color="auto" w:fill="D2CAB6" w:themeFill="background2" w:themeFillShade="E6"/>
          </w:tcPr>
          <w:p w14:paraId="21FACB00" w14:textId="77777777" w:rsidR="00D0629B" w:rsidRPr="00966C05" w:rsidRDefault="00D0629B" w:rsidP="00353EBB">
            <w:pPr>
              <w:spacing w:after="160" w:line="259" w:lineRule="auto"/>
            </w:pPr>
            <w:r w:rsidRPr="00966C05">
              <w:t xml:space="preserve">We have a performance specification that meets the education ambition and supports innovation </w:t>
            </w:r>
          </w:p>
        </w:tc>
        <w:tc>
          <w:tcPr>
            <w:tcW w:w="236" w:type="dxa"/>
            <w:tcBorders>
              <w:top w:val="nil"/>
              <w:bottom w:val="nil"/>
            </w:tcBorders>
          </w:tcPr>
          <w:p w14:paraId="2D4A7241" w14:textId="77777777" w:rsidR="00D0629B" w:rsidRPr="00966C05" w:rsidRDefault="00D0629B" w:rsidP="00353EBB">
            <w:pPr>
              <w:spacing w:after="160" w:line="259" w:lineRule="auto"/>
            </w:pPr>
          </w:p>
        </w:tc>
        <w:tc>
          <w:tcPr>
            <w:tcW w:w="3134" w:type="dxa"/>
            <w:shd w:val="clear" w:color="auto" w:fill="C3E0F2" w:themeFill="accent3" w:themeFillTint="33"/>
          </w:tcPr>
          <w:p w14:paraId="1C0DE462" w14:textId="77777777" w:rsidR="00D0629B" w:rsidRPr="00966C05" w:rsidRDefault="00D0629B" w:rsidP="00353EBB">
            <w:pPr>
              <w:spacing w:after="160" w:line="259" w:lineRule="auto"/>
            </w:pPr>
            <w:r w:rsidRPr="00966C05">
              <w:t>There is a comprehensive understanding of the space available to deliver education</w:t>
            </w:r>
          </w:p>
        </w:tc>
      </w:tr>
      <w:tr w:rsidR="00D0629B" w:rsidRPr="00966C05" w14:paraId="720D6BA5" w14:textId="77777777" w:rsidTr="00353EBB">
        <w:tc>
          <w:tcPr>
            <w:tcW w:w="3334" w:type="dxa"/>
            <w:shd w:val="clear" w:color="auto" w:fill="DFD7E7" w:themeFill="accent5" w:themeFillTint="33"/>
          </w:tcPr>
          <w:p w14:paraId="6AB9D75F" w14:textId="05E7D1D9" w:rsidR="00D0629B" w:rsidRPr="00966C05" w:rsidRDefault="00D0629B" w:rsidP="00353EBB">
            <w:pPr>
              <w:spacing w:after="160" w:line="259" w:lineRule="auto"/>
            </w:pPr>
            <w:r w:rsidRPr="00966C05">
              <w:t>There is a description of the academic standards and ambition for education</w:t>
            </w:r>
          </w:p>
        </w:tc>
        <w:tc>
          <w:tcPr>
            <w:tcW w:w="235" w:type="dxa"/>
            <w:tcBorders>
              <w:top w:val="nil"/>
              <w:bottom w:val="nil"/>
            </w:tcBorders>
          </w:tcPr>
          <w:p w14:paraId="76885430" w14:textId="77777777" w:rsidR="00D0629B" w:rsidRPr="00966C05" w:rsidRDefault="00D0629B" w:rsidP="00353EBB">
            <w:pPr>
              <w:spacing w:after="160" w:line="259" w:lineRule="auto"/>
            </w:pPr>
          </w:p>
        </w:tc>
        <w:tc>
          <w:tcPr>
            <w:tcW w:w="3127" w:type="dxa"/>
            <w:shd w:val="clear" w:color="auto" w:fill="D2CAB6" w:themeFill="background2" w:themeFillShade="E6"/>
          </w:tcPr>
          <w:p w14:paraId="6712BF3B" w14:textId="77777777" w:rsidR="00D0629B" w:rsidRPr="00966C05" w:rsidRDefault="00D0629B" w:rsidP="00353EBB">
            <w:pPr>
              <w:spacing w:after="160" w:line="259" w:lineRule="auto"/>
            </w:pPr>
            <w:r w:rsidRPr="00966C05">
              <w:t>We can describe the facilities available for every education space</w:t>
            </w:r>
          </w:p>
        </w:tc>
        <w:tc>
          <w:tcPr>
            <w:tcW w:w="236" w:type="dxa"/>
            <w:tcBorders>
              <w:top w:val="nil"/>
              <w:bottom w:val="nil"/>
            </w:tcBorders>
          </w:tcPr>
          <w:p w14:paraId="553F15C5" w14:textId="77777777" w:rsidR="00D0629B" w:rsidRPr="00966C05" w:rsidRDefault="00D0629B" w:rsidP="00353EBB">
            <w:pPr>
              <w:spacing w:after="160" w:line="259" w:lineRule="auto"/>
            </w:pPr>
          </w:p>
        </w:tc>
        <w:tc>
          <w:tcPr>
            <w:tcW w:w="3134" w:type="dxa"/>
            <w:shd w:val="clear" w:color="auto" w:fill="C3E0F2" w:themeFill="accent3" w:themeFillTint="33"/>
          </w:tcPr>
          <w:p w14:paraId="70331083" w14:textId="77777777" w:rsidR="00D0629B" w:rsidRPr="00966C05" w:rsidRDefault="00D0629B" w:rsidP="00353EBB">
            <w:pPr>
              <w:spacing w:after="160" w:line="259" w:lineRule="auto"/>
            </w:pPr>
            <w:r w:rsidRPr="00966C05">
              <w:t xml:space="preserve">We will have visibility of all planned changes to the estate </w:t>
            </w:r>
          </w:p>
        </w:tc>
      </w:tr>
      <w:tr w:rsidR="00D0629B" w:rsidRPr="00966C05" w14:paraId="0070A2AF" w14:textId="77777777" w:rsidTr="00353EBB">
        <w:tc>
          <w:tcPr>
            <w:tcW w:w="3334" w:type="dxa"/>
            <w:shd w:val="clear" w:color="auto" w:fill="DFD7E7" w:themeFill="accent5" w:themeFillTint="33"/>
          </w:tcPr>
          <w:p w14:paraId="07E7951A" w14:textId="2B2C01FC" w:rsidR="00D0629B" w:rsidRPr="00966C05" w:rsidRDefault="00D0629B" w:rsidP="00353EBB">
            <w:pPr>
              <w:spacing w:after="160" w:line="259" w:lineRule="auto"/>
            </w:pPr>
            <w:r w:rsidRPr="00966C05">
              <w:t>We are informed how teaching, learning and examinations might change due to, e.g. student growth, change in offerings, modes of assessment</w:t>
            </w:r>
          </w:p>
        </w:tc>
        <w:tc>
          <w:tcPr>
            <w:tcW w:w="235" w:type="dxa"/>
            <w:tcBorders>
              <w:top w:val="nil"/>
              <w:bottom w:val="nil"/>
            </w:tcBorders>
          </w:tcPr>
          <w:p w14:paraId="5A4FB92C" w14:textId="77777777" w:rsidR="00D0629B" w:rsidRPr="00966C05" w:rsidRDefault="00D0629B" w:rsidP="00353EBB">
            <w:pPr>
              <w:spacing w:after="160" w:line="259" w:lineRule="auto"/>
            </w:pPr>
          </w:p>
        </w:tc>
        <w:tc>
          <w:tcPr>
            <w:tcW w:w="3127" w:type="dxa"/>
            <w:shd w:val="clear" w:color="auto" w:fill="D2CAB6" w:themeFill="background2" w:themeFillShade="E6"/>
          </w:tcPr>
          <w:p w14:paraId="3F7FA5B3" w14:textId="77777777" w:rsidR="00D0629B" w:rsidRPr="00966C05" w:rsidRDefault="00D0629B" w:rsidP="00353EBB">
            <w:pPr>
              <w:spacing w:after="160" w:line="259" w:lineRule="auto"/>
            </w:pPr>
            <w:r w:rsidRPr="00966C05">
              <w:t>We can rate the functional suitability</w:t>
            </w:r>
            <w:bookmarkStart w:id="8" w:name="_GoBack"/>
            <w:bookmarkEnd w:id="8"/>
            <w:r w:rsidRPr="00966C05">
              <w:t xml:space="preserve"> of the space and rate existing space against the performance specification</w:t>
            </w:r>
          </w:p>
        </w:tc>
        <w:tc>
          <w:tcPr>
            <w:tcW w:w="236" w:type="dxa"/>
            <w:tcBorders>
              <w:top w:val="nil"/>
              <w:bottom w:val="nil"/>
            </w:tcBorders>
          </w:tcPr>
          <w:p w14:paraId="1F04A044" w14:textId="77777777" w:rsidR="00D0629B" w:rsidRPr="00966C05" w:rsidRDefault="00D0629B" w:rsidP="00353EBB">
            <w:pPr>
              <w:spacing w:after="160" w:line="259" w:lineRule="auto"/>
            </w:pPr>
          </w:p>
        </w:tc>
        <w:tc>
          <w:tcPr>
            <w:tcW w:w="3134" w:type="dxa"/>
            <w:shd w:val="clear" w:color="auto" w:fill="C3E0F2" w:themeFill="accent3" w:themeFillTint="33"/>
          </w:tcPr>
          <w:p w14:paraId="0F851B2F" w14:textId="77777777" w:rsidR="00D0629B" w:rsidRPr="00966C05" w:rsidRDefault="00D0629B" w:rsidP="00353EBB">
            <w:pPr>
              <w:spacing w:after="160" w:line="259" w:lineRule="auto"/>
            </w:pPr>
            <w:r w:rsidRPr="00966C05">
              <w:t>We will model the impact of proposed and actual changes to the estate on education</w:t>
            </w:r>
          </w:p>
        </w:tc>
      </w:tr>
      <w:tr w:rsidR="00D0629B" w:rsidRPr="00966C05" w14:paraId="2424A601" w14:textId="77777777" w:rsidTr="00353EBB">
        <w:tc>
          <w:tcPr>
            <w:tcW w:w="3334" w:type="dxa"/>
            <w:shd w:val="clear" w:color="auto" w:fill="DFD7E7" w:themeFill="accent5" w:themeFillTint="33"/>
          </w:tcPr>
          <w:p w14:paraId="7C1DC76C" w14:textId="77777777" w:rsidR="00D0629B" w:rsidRPr="00966C05" w:rsidRDefault="00D0629B" w:rsidP="00353EBB">
            <w:pPr>
              <w:spacing w:after="160" w:line="259" w:lineRule="auto"/>
            </w:pPr>
            <w:r w:rsidRPr="00966C05">
              <w:t>All space for teaching, learning and examinations is visible to all who book such facilities</w:t>
            </w:r>
          </w:p>
        </w:tc>
        <w:tc>
          <w:tcPr>
            <w:tcW w:w="235" w:type="dxa"/>
            <w:tcBorders>
              <w:top w:val="nil"/>
              <w:bottom w:val="nil"/>
            </w:tcBorders>
          </w:tcPr>
          <w:p w14:paraId="1D786EC0" w14:textId="77777777" w:rsidR="00D0629B" w:rsidRPr="00966C05" w:rsidRDefault="00D0629B" w:rsidP="00353EBB">
            <w:pPr>
              <w:spacing w:after="160" w:line="259" w:lineRule="auto"/>
            </w:pPr>
          </w:p>
        </w:tc>
        <w:tc>
          <w:tcPr>
            <w:tcW w:w="3127" w:type="dxa"/>
            <w:shd w:val="clear" w:color="auto" w:fill="D2CAB6" w:themeFill="background2" w:themeFillShade="E6"/>
          </w:tcPr>
          <w:p w14:paraId="303D8C26" w14:textId="77777777" w:rsidR="00D0629B" w:rsidRPr="00966C05" w:rsidRDefault="00D0629B" w:rsidP="00353EBB">
            <w:pPr>
              <w:spacing w:after="160" w:line="259" w:lineRule="auto"/>
            </w:pPr>
            <w:r w:rsidRPr="00966C05">
              <w:t>Established criteria will be applied when assessing requests for refurbishing space</w:t>
            </w:r>
          </w:p>
        </w:tc>
        <w:tc>
          <w:tcPr>
            <w:tcW w:w="236" w:type="dxa"/>
            <w:tcBorders>
              <w:top w:val="nil"/>
              <w:bottom w:val="nil"/>
            </w:tcBorders>
          </w:tcPr>
          <w:p w14:paraId="443663D3" w14:textId="77777777" w:rsidR="00D0629B" w:rsidRPr="00966C05" w:rsidRDefault="00D0629B" w:rsidP="00353EBB">
            <w:pPr>
              <w:spacing w:after="160" w:line="259" w:lineRule="auto"/>
            </w:pPr>
          </w:p>
        </w:tc>
        <w:tc>
          <w:tcPr>
            <w:tcW w:w="3134" w:type="dxa"/>
            <w:shd w:val="clear" w:color="auto" w:fill="C3E0F2" w:themeFill="accent3" w:themeFillTint="33"/>
          </w:tcPr>
          <w:p w14:paraId="75A05D35" w14:textId="77777777" w:rsidR="00D0629B" w:rsidRPr="00966C05" w:rsidRDefault="00D0629B" w:rsidP="00353EBB">
            <w:pPr>
              <w:spacing w:after="160" w:line="259" w:lineRule="auto"/>
            </w:pPr>
            <w:r w:rsidRPr="00966C05">
              <w:t>We will report risks and suggest mitigation where there are changes to the estate that affect education</w:t>
            </w:r>
          </w:p>
        </w:tc>
      </w:tr>
      <w:tr w:rsidR="00D0629B" w:rsidRPr="00966C05" w14:paraId="755CE951" w14:textId="77777777" w:rsidTr="00353EBB">
        <w:tc>
          <w:tcPr>
            <w:tcW w:w="3334" w:type="dxa"/>
            <w:shd w:val="clear" w:color="auto" w:fill="DFD7E7" w:themeFill="accent5" w:themeFillTint="33"/>
          </w:tcPr>
          <w:p w14:paraId="2D012FA2" w14:textId="77777777" w:rsidR="00D0629B" w:rsidRPr="00966C05" w:rsidRDefault="00D0629B" w:rsidP="00353EBB">
            <w:pPr>
              <w:spacing w:after="160" w:line="259" w:lineRule="auto"/>
            </w:pPr>
            <w:r w:rsidRPr="00966C05">
              <w:t>We will open up appropriate spaces to become shared and prioritised for teaching, learning and examination needs</w:t>
            </w:r>
          </w:p>
        </w:tc>
        <w:tc>
          <w:tcPr>
            <w:tcW w:w="235" w:type="dxa"/>
            <w:tcBorders>
              <w:top w:val="nil"/>
              <w:bottom w:val="nil"/>
            </w:tcBorders>
          </w:tcPr>
          <w:p w14:paraId="218D2754" w14:textId="77777777" w:rsidR="00D0629B" w:rsidRPr="00966C05" w:rsidRDefault="00D0629B" w:rsidP="00353EBB">
            <w:pPr>
              <w:spacing w:after="160" w:line="259" w:lineRule="auto"/>
            </w:pPr>
          </w:p>
        </w:tc>
        <w:tc>
          <w:tcPr>
            <w:tcW w:w="3127" w:type="dxa"/>
            <w:shd w:val="clear" w:color="auto" w:fill="D2CAB6" w:themeFill="background2" w:themeFillShade="E6"/>
          </w:tcPr>
          <w:p w14:paraId="3F2A9450" w14:textId="77777777" w:rsidR="00D0629B" w:rsidRPr="00966C05" w:rsidRDefault="00D0629B" w:rsidP="00353EBB">
            <w:pPr>
              <w:spacing w:after="160" w:line="259" w:lineRule="auto"/>
            </w:pPr>
            <w:r w:rsidRPr="00966C05">
              <w:t>We will audit education spaces and compare the function and facilities to the academic standards and ambitions (as set out in a performance specification)</w:t>
            </w:r>
          </w:p>
        </w:tc>
        <w:tc>
          <w:tcPr>
            <w:tcW w:w="236" w:type="dxa"/>
            <w:tcBorders>
              <w:top w:val="nil"/>
              <w:bottom w:val="nil"/>
            </w:tcBorders>
          </w:tcPr>
          <w:p w14:paraId="5F888FE3" w14:textId="77777777" w:rsidR="00D0629B" w:rsidRPr="00966C05" w:rsidRDefault="00D0629B" w:rsidP="00353EBB">
            <w:pPr>
              <w:spacing w:after="160" w:line="259" w:lineRule="auto"/>
            </w:pPr>
          </w:p>
        </w:tc>
        <w:tc>
          <w:tcPr>
            <w:tcW w:w="3134" w:type="dxa"/>
            <w:shd w:val="clear" w:color="auto" w:fill="C3E0F2" w:themeFill="accent3" w:themeFillTint="33"/>
          </w:tcPr>
          <w:p w14:paraId="1504D49B" w14:textId="77777777" w:rsidR="00D0629B" w:rsidRPr="00966C05" w:rsidRDefault="00D0629B" w:rsidP="00353EBB">
            <w:pPr>
              <w:spacing w:after="160" w:line="259" w:lineRule="auto"/>
            </w:pPr>
            <w:r w:rsidRPr="00966C05">
              <w:t>We will have appropriate tools to manage the operational arrangements (including room booking, timetabling, signage)</w:t>
            </w:r>
          </w:p>
        </w:tc>
      </w:tr>
      <w:tr w:rsidR="00D0629B" w:rsidRPr="00966C05" w14:paraId="2241DAAA" w14:textId="77777777" w:rsidTr="00353EBB">
        <w:tc>
          <w:tcPr>
            <w:tcW w:w="3334" w:type="dxa"/>
            <w:shd w:val="clear" w:color="auto" w:fill="DFD7E7" w:themeFill="accent5" w:themeFillTint="33"/>
          </w:tcPr>
          <w:p w14:paraId="086FAC4F" w14:textId="77777777" w:rsidR="00D0629B" w:rsidRPr="00966C05" w:rsidRDefault="00D0629B" w:rsidP="00353EBB">
            <w:pPr>
              <w:spacing w:after="160" w:line="259" w:lineRule="auto"/>
            </w:pPr>
            <w:r w:rsidRPr="00966C05">
              <w:t>Timetable changes will spread activities across the working day</w:t>
            </w:r>
          </w:p>
        </w:tc>
        <w:tc>
          <w:tcPr>
            <w:tcW w:w="235" w:type="dxa"/>
            <w:tcBorders>
              <w:top w:val="nil"/>
              <w:bottom w:val="nil"/>
            </w:tcBorders>
          </w:tcPr>
          <w:p w14:paraId="3F320B1F" w14:textId="77777777" w:rsidR="00D0629B" w:rsidRPr="00966C05" w:rsidRDefault="00D0629B" w:rsidP="00353EBB">
            <w:pPr>
              <w:spacing w:after="160" w:line="259" w:lineRule="auto"/>
            </w:pPr>
          </w:p>
        </w:tc>
        <w:tc>
          <w:tcPr>
            <w:tcW w:w="3127" w:type="dxa"/>
            <w:shd w:val="clear" w:color="auto" w:fill="D2CAB6" w:themeFill="background2" w:themeFillShade="E6"/>
          </w:tcPr>
          <w:p w14:paraId="7DE1757B" w14:textId="77777777" w:rsidR="00D0629B" w:rsidRPr="00966C05" w:rsidRDefault="00D0629B" w:rsidP="00353EBB">
            <w:pPr>
              <w:spacing w:after="160" w:line="259" w:lineRule="auto"/>
            </w:pPr>
            <w:r w:rsidRPr="00966C05">
              <w:t>Any new build will adhere to the University standards pertinent to education space</w:t>
            </w:r>
          </w:p>
        </w:tc>
        <w:tc>
          <w:tcPr>
            <w:tcW w:w="236" w:type="dxa"/>
            <w:tcBorders>
              <w:top w:val="nil"/>
              <w:bottom w:val="nil"/>
            </w:tcBorders>
          </w:tcPr>
          <w:p w14:paraId="4D64EBFD" w14:textId="77777777" w:rsidR="00D0629B" w:rsidRPr="00966C05" w:rsidRDefault="00D0629B" w:rsidP="00353EBB">
            <w:pPr>
              <w:spacing w:after="160" w:line="259" w:lineRule="auto"/>
            </w:pPr>
          </w:p>
        </w:tc>
        <w:tc>
          <w:tcPr>
            <w:tcW w:w="3134" w:type="dxa"/>
            <w:shd w:val="clear" w:color="auto" w:fill="C3E0F2" w:themeFill="accent3" w:themeFillTint="33"/>
          </w:tcPr>
          <w:p w14:paraId="33BE2FF0" w14:textId="77777777" w:rsidR="00D0629B" w:rsidRPr="00966C05" w:rsidRDefault="00D0629B" w:rsidP="00353EBB">
            <w:pPr>
              <w:spacing w:after="160" w:line="259" w:lineRule="auto"/>
            </w:pPr>
            <w:r w:rsidRPr="00966C05">
              <w:t>Space will be used more efficiently so that teaching utilisation rates increase by 20% by 2021</w:t>
            </w:r>
          </w:p>
        </w:tc>
      </w:tr>
    </w:tbl>
    <w:p w14:paraId="247B32E6" w14:textId="77777777" w:rsidR="00D0629B" w:rsidRDefault="00D0629B" w:rsidP="00D0629B">
      <w:pPr>
        <w:pStyle w:val="Heading1"/>
        <w:spacing w:line="276" w:lineRule="auto"/>
      </w:pPr>
      <w:bookmarkStart w:id="9" w:name="_Toc491781079"/>
      <w:r>
        <w:lastRenderedPageBreak/>
        <w:t>Composition</w:t>
      </w:r>
      <w:bookmarkEnd w:id="9"/>
    </w:p>
    <w:p w14:paraId="255C739A" w14:textId="137DFDA7" w:rsidR="00D0629B" w:rsidRDefault="00D0629B" w:rsidP="00D0629B">
      <w:pPr>
        <w:spacing w:line="276" w:lineRule="auto"/>
        <w:rPr>
          <w:szCs w:val="24"/>
        </w:rPr>
      </w:pPr>
      <w:r>
        <w:t xml:space="preserve">Chaired by the Pro-Vice-Chancellor for Education, the </w:t>
      </w:r>
      <w:r w:rsidR="00F259C5">
        <w:t xml:space="preserve">Board </w:t>
      </w:r>
      <w:r>
        <w:t xml:space="preserve">consists </w:t>
      </w:r>
      <w:r w:rsidRPr="00616780">
        <w:t xml:space="preserve">of </w:t>
      </w:r>
      <w:r w:rsidR="00AB5DA2">
        <w:t>o</w:t>
      </w:r>
      <w:r w:rsidR="00AB5DA2" w:rsidRPr="00616780">
        <w:t xml:space="preserve">fficers </w:t>
      </w:r>
      <w:r w:rsidRPr="00616780">
        <w:t>from</w:t>
      </w:r>
      <w:r w:rsidR="00AB5DA2">
        <w:t xml:space="preserve"> the</w:t>
      </w:r>
      <w:r w:rsidRPr="00616780">
        <w:t xml:space="preserve"> </w:t>
      </w:r>
      <w:r>
        <w:t xml:space="preserve">Academic Division, </w:t>
      </w:r>
      <w:r w:rsidRPr="00616780">
        <w:t>Estate Mana</w:t>
      </w:r>
      <w:r>
        <w:t xml:space="preserve">gement, and </w:t>
      </w:r>
      <w:r w:rsidRPr="00616780">
        <w:t>UIS</w:t>
      </w:r>
      <w:r>
        <w:t xml:space="preserve">.  </w:t>
      </w:r>
      <w:r>
        <w:rPr>
          <w:szCs w:val="24"/>
        </w:rPr>
        <w:t xml:space="preserve">Progress will be determined, and generally limited, by the availability of the </w:t>
      </w:r>
      <w:r w:rsidR="00AB5DA2">
        <w:rPr>
          <w:szCs w:val="24"/>
        </w:rPr>
        <w:t xml:space="preserve">officers </w:t>
      </w:r>
      <w:r>
        <w:rPr>
          <w:szCs w:val="24"/>
        </w:rPr>
        <w:t xml:space="preserve">who </w:t>
      </w:r>
      <w:r w:rsidRPr="00AC543A">
        <w:rPr>
          <w:szCs w:val="24"/>
        </w:rPr>
        <w:t xml:space="preserve">undertake this work in addition to other responsibilities.  </w:t>
      </w:r>
    </w:p>
    <w:p w14:paraId="66CBB0D0" w14:textId="7D082028" w:rsidR="00D0629B" w:rsidRPr="00B91E64" w:rsidRDefault="00D0629B" w:rsidP="00D0629B">
      <w:pPr>
        <w:spacing w:line="276" w:lineRule="auto"/>
        <w:rPr>
          <w:szCs w:val="24"/>
        </w:rPr>
      </w:pPr>
      <w:r w:rsidRPr="00B91E64">
        <w:rPr>
          <w:szCs w:val="24"/>
        </w:rPr>
        <w:t xml:space="preserve">The Programme Board will coordinate the work of colleagues, primarily </w:t>
      </w:r>
      <w:r w:rsidR="002F208A">
        <w:rPr>
          <w:szCs w:val="24"/>
        </w:rPr>
        <w:t xml:space="preserve">in </w:t>
      </w:r>
      <w:r w:rsidRPr="00B91E64">
        <w:rPr>
          <w:szCs w:val="24"/>
        </w:rPr>
        <w:t>Estate Management, UIS, and the Academic Division</w:t>
      </w:r>
      <w:r w:rsidR="002F208A">
        <w:rPr>
          <w:szCs w:val="24"/>
        </w:rPr>
        <w:t>,</w:t>
      </w:r>
      <w:r>
        <w:rPr>
          <w:szCs w:val="24"/>
        </w:rPr>
        <w:t xml:space="preserve"> and will engage with </w:t>
      </w:r>
      <w:r w:rsidR="002F208A">
        <w:rPr>
          <w:szCs w:val="24"/>
        </w:rPr>
        <w:t xml:space="preserve">other </w:t>
      </w:r>
      <w:r>
        <w:rPr>
          <w:szCs w:val="24"/>
        </w:rPr>
        <w:t>relevant institutions and departments.</w:t>
      </w:r>
    </w:p>
    <w:p w14:paraId="6F141DE3" w14:textId="77777777" w:rsidR="003952F6" w:rsidRDefault="003952F6" w:rsidP="003952F6">
      <w:pPr>
        <w:pStyle w:val="Heading1"/>
        <w:spacing w:line="276" w:lineRule="auto"/>
      </w:pPr>
      <w:bookmarkStart w:id="10" w:name="_Toc491781080"/>
      <w:r>
        <w:t>Governance</w:t>
      </w:r>
      <w:bookmarkEnd w:id="10"/>
    </w:p>
    <w:p w14:paraId="71CB88A5" w14:textId="018F8EC3" w:rsidR="003952F6" w:rsidRDefault="003952F6" w:rsidP="003952F6">
      <w:pPr>
        <w:rPr>
          <w:szCs w:val="24"/>
        </w:rPr>
      </w:pPr>
      <w:r w:rsidRPr="00AC543A">
        <w:rPr>
          <w:szCs w:val="24"/>
        </w:rPr>
        <w:t xml:space="preserve">The Board will report to (a) the General Board, through its Education Committee (GBEC), (b) the </w:t>
      </w:r>
      <w:r>
        <w:rPr>
          <w:szCs w:val="24"/>
        </w:rPr>
        <w:t xml:space="preserve">Estates Strategy Committee, </w:t>
      </w:r>
      <w:r w:rsidRPr="00AC543A">
        <w:rPr>
          <w:szCs w:val="24"/>
        </w:rPr>
        <w:t>(c) the Student Info</w:t>
      </w:r>
      <w:r>
        <w:rPr>
          <w:szCs w:val="24"/>
        </w:rPr>
        <w:t>rmation System Committee (SISC), (d) the Oversight Group for Education Space</w:t>
      </w:r>
      <w:r w:rsidR="00237EF0">
        <w:rPr>
          <w:szCs w:val="24"/>
        </w:rPr>
        <w:t>, and (e) the Resource Management Committee</w:t>
      </w:r>
      <w:r w:rsidR="0086358A">
        <w:rPr>
          <w:szCs w:val="24"/>
        </w:rPr>
        <w:t>.</w:t>
      </w:r>
    </w:p>
    <w:p w14:paraId="28461376" w14:textId="3062C8DB" w:rsidR="003952F6" w:rsidRPr="00AC543A" w:rsidRDefault="003952F6" w:rsidP="003952F6">
      <w:pPr>
        <w:rPr>
          <w:szCs w:val="24"/>
        </w:rPr>
      </w:pPr>
      <w:r>
        <w:rPr>
          <w:szCs w:val="24"/>
        </w:rPr>
        <w:t xml:space="preserve">As appropriate, minutes will be made available to </w:t>
      </w:r>
      <w:r w:rsidR="00AB5DA2">
        <w:rPr>
          <w:szCs w:val="24"/>
        </w:rPr>
        <w:t xml:space="preserve">site development boards </w:t>
      </w:r>
      <w:r>
        <w:rPr>
          <w:szCs w:val="24"/>
        </w:rPr>
        <w:t xml:space="preserve">and </w:t>
      </w:r>
      <w:r w:rsidR="00AB5DA2">
        <w:rPr>
          <w:szCs w:val="24"/>
        </w:rPr>
        <w:t>project boards</w:t>
      </w:r>
      <w:r>
        <w:rPr>
          <w:szCs w:val="24"/>
        </w:rPr>
        <w:t>.</w:t>
      </w:r>
    </w:p>
    <w:p w14:paraId="2365508A" w14:textId="0736859E" w:rsidR="003952F6" w:rsidRPr="00AC543A" w:rsidRDefault="003952F6" w:rsidP="003952F6">
      <w:pPr>
        <w:rPr>
          <w:szCs w:val="24"/>
        </w:rPr>
      </w:pPr>
      <w:r>
        <w:rPr>
          <w:szCs w:val="24"/>
        </w:rPr>
        <w:t xml:space="preserve">The </w:t>
      </w:r>
      <w:r w:rsidR="005D7712">
        <w:rPr>
          <w:szCs w:val="24"/>
        </w:rPr>
        <w:t xml:space="preserve">Board </w:t>
      </w:r>
      <w:r>
        <w:rPr>
          <w:szCs w:val="24"/>
        </w:rPr>
        <w:t xml:space="preserve">does not hold </w:t>
      </w:r>
      <w:r w:rsidRPr="00AC543A">
        <w:rPr>
          <w:szCs w:val="24"/>
        </w:rPr>
        <w:t>funds</w:t>
      </w:r>
      <w:r>
        <w:rPr>
          <w:szCs w:val="24"/>
        </w:rPr>
        <w:t>, and will rely on bids to UAS Divisions and UIS</w:t>
      </w:r>
      <w:r w:rsidR="005240E3" w:rsidRPr="005240E3">
        <w:t xml:space="preserve"> </w:t>
      </w:r>
      <w:r w:rsidR="005240E3" w:rsidRPr="005240E3">
        <w:rPr>
          <w:szCs w:val="24"/>
        </w:rPr>
        <w:t xml:space="preserve">and </w:t>
      </w:r>
      <w:r w:rsidR="005240E3">
        <w:rPr>
          <w:szCs w:val="24"/>
        </w:rPr>
        <w:t xml:space="preserve">at </w:t>
      </w:r>
      <w:r w:rsidR="005240E3" w:rsidRPr="005240E3">
        <w:rPr>
          <w:szCs w:val="24"/>
        </w:rPr>
        <w:t xml:space="preserve">other times supporting these </w:t>
      </w:r>
      <w:r w:rsidR="005240E3">
        <w:rPr>
          <w:szCs w:val="24"/>
        </w:rPr>
        <w:t xml:space="preserve">departments in their </w:t>
      </w:r>
      <w:r w:rsidR="005240E3" w:rsidRPr="005240E3">
        <w:rPr>
          <w:szCs w:val="24"/>
        </w:rPr>
        <w:t>own planning round bids.</w:t>
      </w:r>
      <w:r w:rsidR="005240E3">
        <w:rPr>
          <w:szCs w:val="24"/>
        </w:rPr>
        <w:t xml:space="preserve"> </w:t>
      </w:r>
    </w:p>
    <w:p w14:paraId="63A96E82" w14:textId="40995359" w:rsidR="00866288" w:rsidRPr="008350ED" w:rsidRDefault="00866288" w:rsidP="00866288">
      <w:pPr>
        <w:pStyle w:val="Heading1"/>
        <w:spacing w:line="276" w:lineRule="auto"/>
      </w:pPr>
      <w:bookmarkStart w:id="11" w:name="_Toc491781081"/>
      <w:r>
        <w:t>Inputs</w:t>
      </w:r>
      <w:bookmarkEnd w:id="11"/>
    </w:p>
    <w:p w14:paraId="76014C1D" w14:textId="0061A0F2" w:rsidR="00866288" w:rsidRDefault="00866288" w:rsidP="00866288">
      <w:pPr>
        <w:spacing w:line="276" w:lineRule="auto"/>
      </w:pPr>
      <w:r>
        <w:t>To succeed, the Board must have an understanding of all of the following as well as an appreciation of the University’s finances</w:t>
      </w:r>
      <w:r w:rsidR="00AB5DA2">
        <w:t>:</w:t>
      </w:r>
    </w:p>
    <w:p w14:paraId="2AD1DB0A" w14:textId="4354E049" w:rsidR="00866288" w:rsidRDefault="00866288" w:rsidP="006C65D7">
      <w:pPr>
        <w:pStyle w:val="NumerPara"/>
        <w:numPr>
          <w:ilvl w:val="0"/>
          <w:numId w:val="39"/>
        </w:numPr>
      </w:pPr>
      <w:r>
        <w:t xml:space="preserve">The </w:t>
      </w:r>
      <w:r w:rsidR="00887CD0">
        <w:t>a</w:t>
      </w:r>
      <w:r>
        <w:t>cademic business</w:t>
      </w:r>
      <w:r w:rsidR="00AB5DA2">
        <w:t xml:space="preserve"> of the University</w:t>
      </w:r>
      <w:r>
        <w:t>, including:</w:t>
      </w:r>
    </w:p>
    <w:p w14:paraId="4FCCD4B1" w14:textId="77777777" w:rsidR="00866288" w:rsidRDefault="00866288" w:rsidP="00866288">
      <w:pPr>
        <w:pStyle w:val="ListParagraph"/>
        <w:numPr>
          <w:ilvl w:val="1"/>
          <w:numId w:val="6"/>
        </w:numPr>
        <w:spacing w:line="276" w:lineRule="auto"/>
        <w:ind w:left="811" w:hanging="357"/>
      </w:pPr>
      <w:r>
        <w:t xml:space="preserve">The University’s academic ambitions (e.g. growth in student numbers, innovations in teaching and examinations); </w:t>
      </w:r>
    </w:p>
    <w:p w14:paraId="00085DC6" w14:textId="727C08F7" w:rsidR="00866288" w:rsidRDefault="00866288" w:rsidP="00866288">
      <w:pPr>
        <w:pStyle w:val="ListParagraph"/>
        <w:numPr>
          <w:ilvl w:val="1"/>
          <w:numId w:val="6"/>
        </w:numPr>
        <w:spacing w:line="276" w:lineRule="auto"/>
        <w:ind w:left="811" w:hanging="357"/>
      </w:pPr>
      <w:r>
        <w:t>The Schools</w:t>
      </w:r>
      <w:r w:rsidR="004D25F8">
        <w:t>’</w:t>
      </w:r>
      <w:r>
        <w:t xml:space="preserve"> academic ambitions (e.g. changes in course provision);</w:t>
      </w:r>
    </w:p>
    <w:p w14:paraId="5C0235BE" w14:textId="63D9A615" w:rsidR="00866288" w:rsidRDefault="00866288" w:rsidP="00866288">
      <w:pPr>
        <w:pStyle w:val="ListParagraph"/>
        <w:numPr>
          <w:ilvl w:val="1"/>
          <w:numId w:val="6"/>
        </w:numPr>
        <w:spacing w:line="276" w:lineRule="auto"/>
        <w:ind w:left="811" w:hanging="357"/>
      </w:pPr>
      <w:r>
        <w:t xml:space="preserve">The </w:t>
      </w:r>
      <w:r w:rsidR="005D7712">
        <w:t>teaching and learning</w:t>
      </w:r>
      <w:r>
        <w:t xml:space="preserve"> needs (e.g. type and size of space required, the facilities required, </w:t>
      </w:r>
      <w:r w:rsidR="00BF06FC">
        <w:t>and constraints</w:t>
      </w:r>
      <w:r>
        <w:t>).</w:t>
      </w:r>
    </w:p>
    <w:p w14:paraId="05E8BCB5" w14:textId="77777777" w:rsidR="00866288" w:rsidRDefault="00866288" w:rsidP="006C65D7">
      <w:pPr>
        <w:pStyle w:val="NumerPara"/>
      </w:pPr>
      <w:r>
        <w:t>The estate, including:</w:t>
      </w:r>
    </w:p>
    <w:p w14:paraId="4C9C3230" w14:textId="3AD02C18" w:rsidR="00866288" w:rsidRDefault="00866288" w:rsidP="00866288">
      <w:pPr>
        <w:pStyle w:val="ListParagraph"/>
        <w:numPr>
          <w:ilvl w:val="1"/>
          <w:numId w:val="6"/>
        </w:numPr>
        <w:spacing w:line="276" w:lineRule="auto"/>
        <w:ind w:left="811" w:hanging="357"/>
      </w:pPr>
      <w:r>
        <w:t xml:space="preserve">The University’s </w:t>
      </w:r>
      <w:r w:rsidR="00AB5DA2">
        <w:t xml:space="preserve">Strategic Framework </w:t>
      </w:r>
      <w:r>
        <w:t xml:space="preserve">for </w:t>
      </w:r>
      <w:r w:rsidR="00AB5DA2">
        <w:t xml:space="preserve">the Development </w:t>
      </w:r>
      <w:r>
        <w:t xml:space="preserve">of the </w:t>
      </w:r>
      <w:r w:rsidR="00AB5DA2">
        <w:t>Estate</w:t>
      </w:r>
      <w:r>
        <w:t>;</w:t>
      </w:r>
    </w:p>
    <w:p w14:paraId="1F3E2B63" w14:textId="357F52DA" w:rsidR="00866288" w:rsidRDefault="00866288" w:rsidP="00866288">
      <w:pPr>
        <w:pStyle w:val="ListParagraph"/>
        <w:numPr>
          <w:ilvl w:val="1"/>
          <w:numId w:val="6"/>
        </w:numPr>
        <w:spacing w:line="276" w:lineRule="auto"/>
        <w:ind w:left="811" w:hanging="357"/>
      </w:pPr>
      <w:r>
        <w:t xml:space="preserve">The estate currently, including an understanding of: the space that exists, </w:t>
      </w:r>
      <w:r w:rsidR="00374755">
        <w:t>function,</w:t>
      </w:r>
      <w:r w:rsidR="003E591E">
        <w:t xml:space="preserve"> and facilities</w:t>
      </w:r>
      <w:r>
        <w:t xml:space="preserve"> of current provision, current works, and plans for development and refurbishment.</w:t>
      </w:r>
    </w:p>
    <w:p w14:paraId="11AC330E" w14:textId="77777777" w:rsidR="00866288" w:rsidRDefault="00866288" w:rsidP="006C65D7">
      <w:pPr>
        <w:pStyle w:val="NumerPara"/>
      </w:pPr>
      <w:r>
        <w:t>The IT infrastructure, including:</w:t>
      </w:r>
    </w:p>
    <w:p w14:paraId="162F6339" w14:textId="77777777" w:rsidR="00866288" w:rsidRDefault="00866288" w:rsidP="00866288">
      <w:pPr>
        <w:pStyle w:val="ListParagraph"/>
        <w:numPr>
          <w:ilvl w:val="1"/>
          <w:numId w:val="6"/>
        </w:numPr>
        <w:spacing w:line="276" w:lineRule="auto"/>
      </w:pPr>
      <w:r>
        <w:t>The University’s IT strategy;</w:t>
      </w:r>
    </w:p>
    <w:p w14:paraId="32FE51F5" w14:textId="77777777" w:rsidR="00866288" w:rsidRDefault="00866288" w:rsidP="00866288">
      <w:pPr>
        <w:pStyle w:val="ListParagraph"/>
        <w:numPr>
          <w:ilvl w:val="1"/>
          <w:numId w:val="6"/>
        </w:numPr>
        <w:spacing w:line="276" w:lineRule="auto"/>
      </w:pPr>
      <w:r>
        <w:t>Current IT developments that would, for example, affect, or improve, the estate and accessibility to the estate.</w:t>
      </w:r>
    </w:p>
    <w:p w14:paraId="41997C90" w14:textId="5F38717A" w:rsidR="005240E3" w:rsidRDefault="005240E3" w:rsidP="006C65D7">
      <w:pPr>
        <w:pStyle w:val="NumerPara"/>
      </w:pPr>
      <w:r>
        <w:t xml:space="preserve">The business processes and responsible roles across the </w:t>
      </w:r>
      <w:r w:rsidR="00F10EE1">
        <w:t xml:space="preserve">University </w:t>
      </w:r>
      <w:r>
        <w:t>that pertain to scheduling, timetabling, space allocation and room booking.</w:t>
      </w:r>
    </w:p>
    <w:p w14:paraId="1E295245" w14:textId="77777777" w:rsidR="00940195" w:rsidRDefault="00940195" w:rsidP="00940195">
      <w:pPr>
        <w:pStyle w:val="Heading1"/>
        <w:spacing w:line="276" w:lineRule="auto"/>
      </w:pPr>
      <w:bookmarkStart w:id="12" w:name="_Toc491781082"/>
      <w:r>
        <w:lastRenderedPageBreak/>
        <w:t>Dependencies</w:t>
      </w:r>
      <w:bookmarkEnd w:id="12"/>
    </w:p>
    <w:p w14:paraId="3245EDDE" w14:textId="77777777" w:rsidR="00940195" w:rsidRDefault="00940195" w:rsidP="00940195">
      <w:pPr>
        <w:rPr>
          <w:szCs w:val="24"/>
        </w:rPr>
      </w:pPr>
      <w:r>
        <w:rPr>
          <w:szCs w:val="24"/>
        </w:rPr>
        <w:t>Strategic Frameworks that are dependent on this programme:</w:t>
      </w:r>
    </w:p>
    <w:p w14:paraId="3FC33E75" w14:textId="77777777" w:rsidR="00940195" w:rsidRDefault="00940195" w:rsidP="00940195">
      <w:pPr>
        <w:pStyle w:val="ListParagraph"/>
        <w:numPr>
          <w:ilvl w:val="0"/>
          <w:numId w:val="23"/>
        </w:numPr>
        <w:rPr>
          <w:szCs w:val="24"/>
        </w:rPr>
      </w:pPr>
      <w:r>
        <w:rPr>
          <w:szCs w:val="24"/>
        </w:rPr>
        <w:t>Strategic Framework for the Development of the Estate</w:t>
      </w:r>
    </w:p>
    <w:p w14:paraId="403FDC0E" w14:textId="77777777" w:rsidR="00940195" w:rsidRDefault="00940195" w:rsidP="00940195">
      <w:pPr>
        <w:pStyle w:val="ListParagraph"/>
        <w:numPr>
          <w:ilvl w:val="0"/>
          <w:numId w:val="23"/>
        </w:numPr>
        <w:rPr>
          <w:szCs w:val="24"/>
        </w:rPr>
      </w:pPr>
      <w:r>
        <w:rPr>
          <w:szCs w:val="24"/>
        </w:rPr>
        <w:t>Learning and Teaching Strategy</w:t>
      </w:r>
    </w:p>
    <w:p w14:paraId="6CE9DED9" w14:textId="2492B8BA" w:rsidR="00940195" w:rsidRPr="00593F46" w:rsidRDefault="00940195" w:rsidP="00940195">
      <w:pPr>
        <w:pStyle w:val="ListParagraph"/>
        <w:numPr>
          <w:ilvl w:val="0"/>
          <w:numId w:val="23"/>
        </w:numPr>
        <w:rPr>
          <w:szCs w:val="24"/>
        </w:rPr>
      </w:pPr>
      <w:r>
        <w:rPr>
          <w:szCs w:val="24"/>
        </w:rPr>
        <w:t>Digital Strategy for Education</w:t>
      </w:r>
    </w:p>
    <w:p w14:paraId="63171BE6" w14:textId="77777777" w:rsidR="00940195" w:rsidRDefault="00940195" w:rsidP="00940195">
      <w:pPr>
        <w:rPr>
          <w:szCs w:val="24"/>
        </w:rPr>
      </w:pPr>
      <w:r w:rsidRPr="00593F46">
        <w:rPr>
          <w:szCs w:val="24"/>
        </w:rPr>
        <w:t>Projects that are dependent on this programme: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468"/>
      </w:tblGrid>
      <w:tr w:rsidR="00B56DF6" w:rsidRPr="00B56DF6" w14:paraId="649CE2C3" w14:textId="77777777" w:rsidTr="00B56DF6">
        <w:tc>
          <w:tcPr>
            <w:tcW w:w="4444" w:type="dxa"/>
          </w:tcPr>
          <w:p w14:paraId="1AA356AE" w14:textId="77777777" w:rsidR="00B56DF6" w:rsidRPr="00B56DF6" w:rsidRDefault="00B56DF6" w:rsidP="00097A2B">
            <w:pPr>
              <w:pStyle w:val="ListParagraph"/>
              <w:numPr>
                <w:ilvl w:val="0"/>
                <w:numId w:val="22"/>
              </w:numPr>
              <w:rPr>
                <w:szCs w:val="24"/>
              </w:rPr>
            </w:pPr>
            <w:r w:rsidRPr="00B56DF6">
              <w:rPr>
                <w:szCs w:val="24"/>
              </w:rPr>
              <w:t>New Museums Site</w:t>
            </w:r>
          </w:p>
        </w:tc>
        <w:tc>
          <w:tcPr>
            <w:tcW w:w="4468" w:type="dxa"/>
          </w:tcPr>
          <w:p w14:paraId="07410657" w14:textId="77777777" w:rsidR="00B56DF6" w:rsidRPr="00B56DF6" w:rsidRDefault="00B56DF6" w:rsidP="00097A2B">
            <w:pPr>
              <w:pStyle w:val="ListParagraph"/>
              <w:numPr>
                <w:ilvl w:val="0"/>
                <w:numId w:val="22"/>
              </w:numPr>
              <w:rPr>
                <w:szCs w:val="24"/>
              </w:rPr>
            </w:pPr>
            <w:r w:rsidRPr="00B56DF6">
              <w:rPr>
                <w:szCs w:val="24"/>
              </w:rPr>
              <w:t>West Cambridge</w:t>
            </w:r>
          </w:p>
        </w:tc>
      </w:tr>
      <w:tr w:rsidR="00B56DF6" w:rsidRPr="00B56DF6" w14:paraId="351E74A7" w14:textId="77777777" w:rsidTr="00B56DF6">
        <w:tc>
          <w:tcPr>
            <w:tcW w:w="4444" w:type="dxa"/>
          </w:tcPr>
          <w:p w14:paraId="71B444A7" w14:textId="77777777" w:rsidR="00B56DF6" w:rsidRPr="00B56DF6" w:rsidRDefault="00B56DF6" w:rsidP="00097A2B">
            <w:pPr>
              <w:pStyle w:val="ListParagraph"/>
              <w:numPr>
                <w:ilvl w:val="0"/>
                <w:numId w:val="22"/>
              </w:numPr>
              <w:rPr>
                <w:szCs w:val="24"/>
              </w:rPr>
            </w:pPr>
            <w:r w:rsidRPr="00B56DF6">
              <w:rPr>
                <w:szCs w:val="24"/>
              </w:rPr>
              <w:t>Sidgwick Site</w:t>
            </w:r>
          </w:p>
        </w:tc>
        <w:tc>
          <w:tcPr>
            <w:tcW w:w="4468" w:type="dxa"/>
          </w:tcPr>
          <w:p w14:paraId="2BBAB780" w14:textId="1879F29B" w:rsidR="00B56DF6" w:rsidRPr="00B56DF6" w:rsidRDefault="00254196" w:rsidP="00097A2B">
            <w:pPr>
              <w:pStyle w:val="ListParagraph"/>
              <w:numPr>
                <w:ilvl w:val="0"/>
                <w:numId w:val="22"/>
              </w:numPr>
              <w:rPr>
                <w:szCs w:val="24"/>
              </w:rPr>
            </w:pPr>
            <w:proofErr w:type="spellStart"/>
            <w:r>
              <w:rPr>
                <w:szCs w:val="24"/>
              </w:rPr>
              <w:t>BioC</w:t>
            </w:r>
            <w:r w:rsidR="00B56DF6" w:rsidRPr="00B56DF6">
              <w:rPr>
                <w:szCs w:val="24"/>
              </w:rPr>
              <w:t>entrum</w:t>
            </w:r>
            <w:proofErr w:type="spellEnd"/>
          </w:p>
        </w:tc>
      </w:tr>
      <w:tr w:rsidR="00B56DF6" w:rsidRPr="00B56DF6" w14:paraId="04A95CA3" w14:textId="77777777" w:rsidTr="00B56DF6">
        <w:tc>
          <w:tcPr>
            <w:tcW w:w="4444" w:type="dxa"/>
          </w:tcPr>
          <w:p w14:paraId="6C6E0B9F" w14:textId="3BC690B9" w:rsidR="00B56DF6" w:rsidRPr="00B56DF6" w:rsidRDefault="00B56DF6" w:rsidP="002F208A">
            <w:pPr>
              <w:pStyle w:val="ListParagraph"/>
              <w:numPr>
                <w:ilvl w:val="0"/>
                <w:numId w:val="22"/>
              </w:numPr>
              <w:rPr>
                <w:szCs w:val="24"/>
              </w:rPr>
            </w:pPr>
            <w:r w:rsidRPr="00B56DF6">
              <w:rPr>
                <w:szCs w:val="24"/>
              </w:rPr>
              <w:t xml:space="preserve">Room Booking Project </w:t>
            </w:r>
          </w:p>
        </w:tc>
        <w:tc>
          <w:tcPr>
            <w:tcW w:w="4468" w:type="dxa"/>
          </w:tcPr>
          <w:p w14:paraId="54C0D49D" w14:textId="77777777" w:rsidR="00B56DF6" w:rsidRPr="00B56DF6" w:rsidRDefault="00B56DF6" w:rsidP="00B56DF6">
            <w:pPr>
              <w:pStyle w:val="ListParagraph"/>
              <w:numPr>
                <w:ilvl w:val="0"/>
                <w:numId w:val="0"/>
              </w:numPr>
              <w:ind w:left="720"/>
              <w:rPr>
                <w:szCs w:val="24"/>
              </w:rPr>
            </w:pPr>
          </w:p>
        </w:tc>
      </w:tr>
    </w:tbl>
    <w:p w14:paraId="74E141D7" w14:textId="77777777" w:rsidR="005E2D79" w:rsidRDefault="005E2D79" w:rsidP="005E2D79">
      <w:pPr>
        <w:pStyle w:val="Heading1"/>
        <w:spacing w:line="276" w:lineRule="auto"/>
      </w:pPr>
      <w:bookmarkStart w:id="13" w:name="_Toc491781083"/>
      <w:r>
        <w:t>Risks and Issues</w:t>
      </w:r>
      <w:bookmarkEnd w:id="13"/>
    </w:p>
    <w:p w14:paraId="00A7DB3B" w14:textId="2E21B122" w:rsidR="005E2D79" w:rsidRDefault="005E2D79" w:rsidP="005E2D79">
      <w:pPr>
        <w:rPr>
          <w:szCs w:val="24"/>
        </w:rPr>
      </w:pPr>
      <w:r w:rsidRPr="00036719">
        <w:rPr>
          <w:b/>
          <w:szCs w:val="24"/>
        </w:rPr>
        <w:t xml:space="preserve">Stakeholder </w:t>
      </w:r>
      <w:r w:rsidR="00F10EE1">
        <w:rPr>
          <w:b/>
          <w:szCs w:val="24"/>
        </w:rPr>
        <w:t>r</w:t>
      </w:r>
      <w:r w:rsidR="00F10EE1" w:rsidRPr="00036719">
        <w:rPr>
          <w:b/>
          <w:szCs w:val="24"/>
        </w:rPr>
        <w:t>isk</w:t>
      </w:r>
      <w:r>
        <w:rPr>
          <w:szCs w:val="24"/>
        </w:rPr>
        <w:t>: S</w:t>
      </w:r>
      <w:r w:rsidRPr="00036719">
        <w:rPr>
          <w:szCs w:val="24"/>
        </w:rPr>
        <w:t xml:space="preserve">takeholders may not </w:t>
      </w:r>
      <w:r>
        <w:rPr>
          <w:szCs w:val="24"/>
        </w:rPr>
        <w:t xml:space="preserve">buy into the programme and may not change current practices and so benefits </w:t>
      </w:r>
      <w:r w:rsidR="00254196">
        <w:rPr>
          <w:szCs w:val="24"/>
        </w:rPr>
        <w:t xml:space="preserve">may </w:t>
      </w:r>
      <w:r>
        <w:rPr>
          <w:szCs w:val="24"/>
        </w:rPr>
        <w:t xml:space="preserve">not </w:t>
      </w:r>
      <w:r w:rsidR="00254196">
        <w:rPr>
          <w:szCs w:val="24"/>
        </w:rPr>
        <w:t xml:space="preserve">be </w:t>
      </w:r>
      <w:r>
        <w:rPr>
          <w:szCs w:val="24"/>
        </w:rPr>
        <w:t>realised</w:t>
      </w:r>
      <w:r w:rsidRPr="00036719">
        <w:rPr>
          <w:szCs w:val="24"/>
        </w:rPr>
        <w:t>.</w:t>
      </w:r>
    </w:p>
    <w:p w14:paraId="42921F4E" w14:textId="77777777" w:rsidR="005E2D79" w:rsidRDefault="005E2D79" w:rsidP="005E2D79">
      <w:pPr>
        <w:rPr>
          <w:szCs w:val="24"/>
        </w:rPr>
      </w:pPr>
      <w:r>
        <w:rPr>
          <w:szCs w:val="24"/>
        </w:rPr>
        <w:t>This can be overcome with senior direction, continual engagement, and delivery of benefits.</w:t>
      </w:r>
    </w:p>
    <w:p w14:paraId="7AC7C801" w14:textId="3192B823" w:rsidR="005E2D79" w:rsidRDefault="005E2D79" w:rsidP="005E2D79">
      <w:pPr>
        <w:rPr>
          <w:szCs w:val="24"/>
        </w:rPr>
      </w:pPr>
      <w:r w:rsidRPr="00036719">
        <w:rPr>
          <w:b/>
          <w:szCs w:val="24"/>
        </w:rPr>
        <w:t xml:space="preserve">Technology </w:t>
      </w:r>
      <w:r w:rsidR="00F10EE1">
        <w:rPr>
          <w:b/>
          <w:szCs w:val="24"/>
        </w:rPr>
        <w:t>r</w:t>
      </w:r>
      <w:r w:rsidR="00F10EE1" w:rsidRPr="00036719">
        <w:rPr>
          <w:b/>
          <w:szCs w:val="24"/>
        </w:rPr>
        <w:t>isk</w:t>
      </w:r>
      <w:r>
        <w:rPr>
          <w:szCs w:val="24"/>
        </w:rPr>
        <w:t xml:space="preserve">: The programme might require </w:t>
      </w:r>
      <w:r w:rsidRPr="00036719">
        <w:rPr>
          <w:szCs w:val="24"/>
        </w:rPr>
        <w:t>implementation of a new technology</w:t>
      </w:r>
      <w:r>
        <w:rPr>
          <w:szCs w:val="24"/>
        </w:rPr>
        <w:t xml:space="preserve"> but </w:t>
      </w:r>
      <w:r w:rsidRPr="00036719">
        <w:rPr>
          <w:szCs w:val="24"/>
        </w:rPr>
        <w:t xml:space="preserve">may not be in a position to acquire these technologies due to financial or operational constraints.  This </w:t>
      </w:r>
      <w:r>
        <w:rPr>
          <w:szCs w:val="24"/>
        </w:rPr>
        <w:t xml:space="preserve">could </w:t>
      </w:r>
      <w:r w:rsidRPr="00036719">
        <w:rPr>
          <w:szCs w:val="24"/>
        </w:rPr>
        <w:t>adversely affect the implementation of the proposed solution.</w:t>
      </w:r>
    </w:p>
    <w:p w14:paraId="5D50BD68" w14:textId="4A0433D5" w:rsidR="005E2D79" w:rsidRDefault="005E2D79" w:rsidP="005E2D79">
      <w:pPr>
        <w:rPr>
          <w:szCs w:val="24"/>
        </w:rPr>
      </w:pPr>
      <w:r>
        <w:rPr>
          <w:szCs w:val="24"/>
        </w:rPr>
        <w:t>This can be o</w:t>
      </w:r>
      <w:r w:rsidR="002F208A">
        <w:rPr>
          <w:szCs w:val="24"/>
        </w:rPr>
        <w:t>vercome if senior m</w:t>
      </w:r>
      <w:r>
        <w:rPr>
          <w:szCs w:val="24"/>
        </w:rPr>
        <w:t>anagement are convinced of the proven benefits, including financial ones, of adopting the technology.</w:t>
      </w:r>
    </w:p>
    <w:p w14:paraId="7D7F201C" w14:textId="74CCA0ED" w:rsidR="005E2D79" w:rsidRDefault="005E2D79" w:rsidP="005E2D79">
      <w:pPr>
        <w:rPr>
          <w:szCs w:val="24"/>
        </w:rPr>
      </w:pPr>
      <w:r w:rsidRPr="00036719">
        <w:rPr>
          <w:b/>
          <w:szCs w:val="24"/>
        </w:rPr>
        <w:t xml:space="preserve">Execution </w:t>
      </w:r>
      <w:r w:rsidR="00F10EE1">
        <w:rPr>
          <w:b/>
          <w:szCs w:val="24"/>
        </w:rPr>
        <w:t>r</w:t>
      </w:r>
      <w:r w:rsidR="00F10EE1" w:rsidRPr="00036719">
        <w:rPr>
          <w:b/>
          <w:szCs w:val="24"/>
        </w:rPr>
        <w:t>isk</w:t>
      </w:r>
      <w:r>
        <w:rPr>
          <w:szCs w:val="24"/>
        </w:rPr>
        <w:t>:</w:t>
      </w:r>
      <w:r w:rsidRPr="00036719">
        <w:t xml:space="preserve"> </w:t>
      </w:r>
      <w:r>
        <w:t xml:space="preserve"> </w:t>
      </w:r>
      <w:r w:rsidRPr="00036719">
        <w:rPr>
          <w:szCs w:val="24"/>
        </w:rPr>
        <w:t xml:space="preserve">The project </w:t>
      </w:r>
      <w:r>
        <w:rPr>
          <w:szCs w:val="24"/>
        </w:rPr>
        <w:t xml:space="preserve">might </w:t>
      </w:r>
      <w:r w:rsidRPr="00036719">
        <w:rPr>
          <w:szCs w:val="24"/>
        </w:rPr>
        <w:t xml:space="preserve">be poorly scoped </w:t>
      </w:r>
      <w:r>
        <w:rPr>
          <w:szCs w:val="24"/>
        </w:rPr>
        <w:t xml:space="preserve">and might not </w:t>
      </w:r>
      <w:r w:rsidRPr="00036719">
        <w:rPr>
          <w:szCs w:val="24"/>
        </w:rPr>
        <w:t>receiv</w:t>
      </w:r>
      <w:r>
        <w:rPr>
          <w:szCs w:val="24"/>
        </w:rPr>
        <w:t>e</w:t>
      </w:r>
      <w:r w:rsidRPr="00036719">
        <w:rPr>
          <w:szCs w:val="24"/>
        </w:rPr>
        <w:t xml:space="preserve"> continued support from the organi</w:t>
      </w:r>
      <w:r>
        <w:rPr>
          <w:szCs w:val="24"/>
        </w:rPr>
        <w:t>s</w:t>
      </w:r>
      <w:r w:rsidRPr="00036719">
        <w:rPr>
          <w:szCs w:val="24"/>
        </w:rPr>
        <w:t>ation</w:t>
      </w:r>
      <w:r w:rsidR="002F208A">
        <w:rPr>
          <w:szCs w:val="24"/>
        </w:rPr>
        <w:t xml:space="preserve"> and thus fail</w:t>
      </w:r>
      <w:r>
        <w:rPr>
          <w:szCs w:val="24"/>
        </w:rPr>
        <w:t xml:space="preserve"> to deliver</w:t>
      </w:r>
      <w:r w:rsidRPr="00036719">
        <w:rPr>
          <w:szCs w:val="24"/>
        </w:rPr>
        <w:t>.</w:t>
      </w:r>
    </w:p>
    <w:p w14:paraId="10FFD081" w14:textId="77777777" w:rsidR="005E2D79" w:rsidRDefault="005E2D79" w:rsidP="005E2D79">
      <w:pPr>
        <w:rPr>
          <w:szCs w:val="24"/>
        </w:rPr>
      </w:pPr>
      <w:r>
        <w:rPr>
          <w:szCs w:val="24"/>
        </w:rPr>
        <w:t>This can be overcome with careful programme planning and management.</w:t>
      </w:r>
    </w:p>
    <w:p w14:paraId="40EEA1EE" w14:textId="6ECD438D" w:rsidR="005E2D79" w:rsidRDefault="005E2D79" w:rsidP="005E2D79">
      <w:pPr>
        <w:rPr>
          <w:szCs w:val="24"/>
        </w:rPr>
      </w:pPr>
      <w:r w:rsidRPr="00036719">
        <w:rPr>
          <w:b/>
          <w:szCs w:val="24"/>
        </w:rPr>
        <w:t xml:space="preserve">Affordability </w:t>
      </w:r>
      <w:r w:rsidR="00F10EE1">
        <w:rPr>
          <w:b/>
          <w:szCs w:val="24"/>
        </w:rPr>
        <w:t>r</w:t>
      </w:r>
      <w:r w:rsidR="00F10EE1" w:rsidRPr="00036719">
        <w:rPr>
          <w:b/>
          <w:szCs w:val="24"/>
        </w:rPr>
        <w:t>isk</w:t>
      </w:r>
      <w:r>
        <w:rPr>
          <w:szCs w:val="24"/>
        </w:rPr>
        <w:t xml:space="preserve">: Without wholly dedicated </w:t>
      </w:r>
      <w:r w:rsidR="00B56DF6">
        <w:rPr>
          <w:szCs w:val="24"/>
        </w:rPr>
        <w:t>resource,</w:t>
      </w:r>
      <w:r>
        <w:rPr>
          <w:szCs w:val="24"/>
        </w:rPr>
        <w:t xml:space="preserve"> the programme might not be delivered as intended or take </w:t>
      </w:r>
      <w:r w:rsidR="00B56DF6">
        <w:rPr>
          <w:szCs w:val="24"/>
        </w:rPr>
        <w:t xml:space="preserve">a </w:t>
      </w:r>
      <w:r>
        <w:rPr>
          <w:szCs w:val="24"/>
        </w:rPr>
        <w:t xml:space="preserve">long a time to deliver </w:t>
      </w:r>
      <w:r w:rsidR="00254196">
        <w:rPr>
          <w:szCs w:val="24"/>
        </w:rPr>
        <w:t>which</w:t>
      </w:r>
      <w:r>
        <w:rPr>
          <w:szCs w:val="24"/>
        </w:rPr>
        <w:t xml:space="preserve"> in turn could lead to frustrations and abandonment of the programme.</w:t>
      </w:r>
    </w:p>
    <w:p w14:paraId="1DC702BA" w14:textId="77777777" w:rsidR="005E2D79" w:rsidRPr="00593F46" w:rsidRDefault="005E2D79" w:rsidP="005E2D79">
      <w:pPr>
        <w:rPr>
          <w:szCs w:val="24"/>
        </w:rPr>
      </w:pPr>
      <w:r>
        <w:rPr>
          <w:szCs w:val="24"/>
        </w:rPr>
        <w:t>This can be overcome with determined resource and clear expectation and understanding of what can be delivered by the resource allocated.</w:t>
      </w:r>
    </w:p>
    <w:p w14:paraId="76C0562F" w14:textId="77777777" w:rsidR="005E2D79" w:rsidRDefault="005E2D79" w:rsidP="005E2D79">
      <w:pPr>
        <w:pStyle w:val="Heading1"/>
        <w:spacing w:line="276" w:lineRule="auto"/>
      </w:pPr>
      <w:bookmarkStart w:id="14" w:name="_Toc491781084"/>
      <w:r>
        <w:t>Programme Plan</w:t>
      </w:r>
      <w:bookmarkEnd w:id="14"/>
    </w:p>
    <w:p w14:paraId="3C68234E" w14:textId="23EDE904" w:rsidR="003B1AFB" w:rsidRPr="008350ED" w:rsidRDefault="005E2D79" w:rsidP="005E2D79">
      <w:r>
        <w:t>Owned by Estates Management</w:t>
      </w:r>
      <w:r w:rsidR="003B1AFB">
        <w:t>.</w:t>
      </w:r>
    </w:p>
    <w:p w14:paraId="51355DF5" w14:textId="77777777" w:rsidR="005E2D79" w:rsidRDefault="005E2D79" w:rsidP="005E2D79">
      <w:pPr>
        <w:pStyle w:val="Heading1"/>
        <w:spacing w:line="276" w:lineRule="auto"/>
      </w:pPr>
      <w:bookmarkStart w:id="15" w:name="_Toc491781085"/>
      <w:r>
        <w:t>Communications &amp; Engagement Plan</w:t>
      </w:r>
      <w:bookmarkEnd w:id="15"/>
    </w:p>
    <w:p w14:paraId="1F7F76E9" w14:textId="3670C032" w:rsidR="0046066D" w:rsidRPr="00B56DF6" w:rsidRDefault="005E2D79">
      <w:r>
        <w:t>Owned by the Office of External Affairs and Communication</w:t>
      </w:r>
      <w:r w:rsidR="00546411">
        <w:t xml:space="preserve">.  </w:t>
      </w:r>
      <w:r w:rsidR="0046066D">
        <w:br w:type="page"/>
      </w:r>
    </w:p>
    <w:p w14:paraId="670372F2" w14:textId="5ADD9DBF" w:rsidR="00A745A6" w:rsidRPr="0046066D" w:rsidRDefault="0074147A" w:rsidP="004E54DB">
      <w:pPr>
        <w:pStyle w:val="Title"/>
      </w:pPr>
      <w:bookmarkStart w:id="16" w:name="_Toc491781086"/>
      <w:r>
        <w:lastRenderedPageBreak/>
        <w:t>C</w:t>
      </w:r>
      <w:r w:rsidR="00A745A6" w:rsidRPr="0046066D">
        <w:t>: The Programme of Work</w:t>
      </w:r>
      <w:bookmarkEnd w:id="16"/>
    </w:p>
    <w:p w14:paraId="55222A75" w14:textId="77777777" w:rsidR="0053797F" w:rsidRDefault="0053797F" w:rsidP="0053797F">
      <w:pPr>
        <w:pStyle w:val="Heading1"/>
        <w:spacing w:line="276" w:lineRule="auto"/>
      </w:pPr>
      <w:bookmarkStart w:id="17" w:name="_Toc491781087"/>
      <w:r>
        <w:t>Programme Phases</w:t>
      </w:r>
      <w:bookmarkEnd w:id="17"/>
    </w:p>
    <w:p w14:paraId="154E3D51" w14:textId="3F1A0FD4" w:rsidR="003952F6" w:rsidRPr="003952F6" w:rsidRDefault="0053797F" w:rsidP="005240E3">
      <w:pPr>
        <w:rPr>
          <w:szCs w:val="24"/>
        </w:rPr>
      </w:pPr>
      <w:r>
        <w:t>To achieve the future state, as described in the S</w:t>
      </w:r>
      <w:r w:rsidR="007C01CD">
        <w:t>uccess Criteria</w:t>
      </w:r>
      <w:r>
        <w:t xml:space="preserve">, requires a phased approach.  </w:t>
      </w:r>
      <w:r w:rsidR="00857D2E">
        <w:t>At commencement of the work</w:t>
      </w:r>
      <w:r w:rsidR="00374755">
        <w:t xml:space="preserve"> (January 2017)</w:t>
      </w:r>
      <w:r w:rsidR="00857D2E">
        <w:t xml:space="preserve">, the ambition is to deliver </w:t>
      </w:r>
      <w:r w:rsidR="003952F6" w:rsidRPr="003952F6">
        <w:rPr>
          <w:szCs w:val="24"/>
        </w:rPr>
        <w:t>the programme within a defined period, which (resource allowing) might be by 30 September 2020.</w:t>
      </w:r>
    </w:p>
    <w:p w14:paraId="3009BAF3" w14:textId="4551ED7C" w:rsidR="00703CEB" w:rsidRDefault="00857D2E" w:rsidP="00857D2E">
      <w:r>
        <w:t>The detail in each p</w:t>
      </w:r>
      <w:r w:rsidR="0053797F">
        <w:t xml:space="preserve">hase will be dependent on </w:t>
      </w:r>
      <w:r w:rsidR="00F30179">
        <w:t xml:space="preserve">the outcomes of the previous </w:t>
      </w:r>
      <w:r w:rsidR="00254196">
        <w:t xml:space="preserve">phase </w:t>
      </w:r>
      <w:r w:rsidR="00F30179">
        <w:t xml:space="preserve">and </w:t>
      </w:r>
      <w:r>
        <w:t>might require a</w:t>
      </w:r>
      <w:r w:rsidRPr="00857D2E">
        <w:rPr>
          <w:szCs w:val="24"/>
        </w:rPr>
        <w:t xml:space="preserve"> repeat </w:t>
      </w:r>
      <w:r>
        <w:rPr>
          <w:szCs w:val="24"/>
        </w:rPr>
        <w:t xml:space="preserve">of </w:t>
      </w:r>
      <w:r w:rsidRPr="00857D2E">
        <w:rPr>
          <w:szCs w:val="24"/>
        </w:rPr>
        <w:t>the information gathering and analysis</w:t>
      </w:r>
      <w:r>
        <w:rPr>
          <w:szCs w:val="24"/>
        </w:rPr>
        <w:t xml:space="preserve">; </w:t>
      </w:r>
      <w:r w:rsidR="00F30179">
        <w:t xml:space="preserve">therefore, </w:t>
      </w:r>
      <w:r>
        <w:t xml:space="preserve">the phases </w:t>
      </w:r>
      <w:r w:rsidR="00F30179">
        <w:t>will change over time.</w:t>
      </w:r>
      <w:r w:rsidR="00703CEB">
        <w:t xml:space="preserve">  </w:t>
      </w:r>
    </w:p>
    <w:p w14:paraId="5F05EFD2" w14:textId="77777777" w:rsidR="0053797F" w:rsidRDefault="0053797F" w:rsidP="0053797F">
      <w:pPr>
        <w:spacing w:line="276" w:lineRule="auto"/>
      </w:pPr>
      <w:r w:rsidRPr="00696CBA">
        <w:rPr>
          <w:noProof/>
          <w:lang w:eastAsia="en-GB"/>
        </w:rPr>
        <w:drawing>
          <wp:inline distT="0" distB="0" distL="0" distR="0" wp14:anchorId="01CE2B0D" wp14:editId="521C7348">
            <wp:extent cx="5991225" cy="2847975"/>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C7EAAAF" w14:textId="77777777" w:rsidR="00C75894" w:rsidRPr="003952F6" w:rsidRDefault="00C75894" w:rsidP="00C75894">
      <w:r>
        <w:t>Over time, the</w:t>
      </w:r>
      <w:r w:rsidRPr="003952F6">
        <w:t xml:space="preserve"> programme work </w:t>
      </w:r>
      <w:r>
        <w:t xml:space="preserve">will </w:t>
      </w:r>
      <w:r w:rsidRPr="003952F6">
        <w:t>become the normal conduct of business.  This means that in time the programme work will reduce as it transfers into operational activity</w:t>
      </w:r>
      <w:r w:rsidRPr="005240E3">
        <w:t>, with the above components being kept up-to-date and complete as a matter of course.</w:t>
      </w:r>
    </w:p>
    <w:p w14:paraId="7F5A5EAA" w14:textId="07B960A9" w:rsidR="00070582" w:rsidRDefault="00070582" w:rsidP="00C027FD">
      <w:pPr>
        <w:pStyle w:val="Heading1"/>
        <w:spacing w:line="276" w:lineRule="auto"/>
      </w:pPr>
      <w:bookmarkStart w:id="18" w:name="_Toc491781088"/>
      <w:r>
        <w:t>Objectives: Phase 1</w:t>
      </w:r>
      <w:bookmarkEnd w:id="18"/>
    </w:p>
    <w:p w14:paraId="0DB5E008" w14:textId="791AA584" w:rsidR="002E00A3" w:rsidRPr="009A50A2" w:rsidRDefault="00297308" w:rsidP="002E00A3">
      <w:pPr>
        <w:pStyle w:val="ListParagraph"/>
        <w:numPr>
          <w:ilvl w:val="0"/>
          <w:numId w:val="18"/>
        </w:numPr>
        <w:spacing w:line="276" w:lineRule="auto"/>
        <w:rPr>
          <w:b/>
        </w:rPr>
      </w:pPr>
      <w:r>
        <w:rPr>
          <w:b/>
        </w:rPr>
        <w:t>Education</w:t>
      </w:r>
      <w:r w:rsidRPr="009A50A2">
        <w:rPr>
          <w:b/>
        </w:rPr>
        <w:t xml:space="preserve"> </w:t>
      </w:r>
      <w:r w:rsidR="002E00A3" w:rsidRPr="009A50A2">
        <w:rPr>
          <w:b/>
        </w:rPr>
        <w:t>Strategy</w:t>
      </w:r>
    </w:p>
    <w:p w14:paraId="57817BAD" w14:textId="2779EB43" w:rsidR="00866288" w:rsidRPr="00632105" w:rsidRDefault="002E00A3" w:rsidP="00632105">
      <w:pPr>
        <w:pStyle w:val="NumerPara"/>
        <w:numPr>
          <w:ilvl w:val="0"/>
          <w:numId w:val="40"/>
        </w:numPr>
      </w:pPr>
      <w:r w:rsidRPr="00632105">
        <w:t>To understand the current teaching by gathering the timetables, starting with the largest cohorts and endi</w:t>
      </w:r>
      <w:r w:rsidR="00866288" w:rsidRPr="00632105">
        <w:t>ng with the smallest cohorts</w:t>
      </w:r>
      <w:r w:rsidR="00391DEF">
        <w:t>,</w:t>
      </w:r>
      <w:r w:rsidR="00866288" w:rsidRPr="00632105">
        <w:t xml:space="preserve"> </w:t>
      </w:r>
      <w:r w:rsidR="00391DEF">
        <w:t>to</w:t>
      </w:r>
      <w:r w:rsidR="0053797F" w:rsidRPr="00632105">
        <w:t xml:space="preserve"> </w:t>
      </w:r>
      <w:r w:rsidRPr="00632105">
        <w:t>identify</w:t>
      </w:r>
      <w:r w:rsidR="00254196">
        <w:t xml:space="preserve"> the following:</w:t>
      </w:r>
    </w:p>
    <w:p w14:paraId="4CDDB31B" w14:textId="2D6BB7ED" w:rsidR="00866288" w:rsidRPr="006C65D7" w:rsidRDefault="00866288" w:rsidP="00632105">
      <w:pPr>
        <w:pStyle w:val="ListParagraph"/>
      </w:pPr>
      <w:r w:rsidRPr="006C65D7">
        <w:t>W</w:t>
      </w:r>
      <w:r w:rsidR="002E00A3" w:rsidRPr="006C65D7">
        <w:t>hat space</w:t>
      </w:r>
      <w:r w:rsidR="0048001E" w:rsidRPr="006C65D7">
        <w:t xml:space="preserve"> is required (size and design);</w:t>
      </w:r>
    </w:p>
    <w:p w14:paraId="067C8E1C" w14:textId="5DC91433" w:rsidR="00866288" w:rsidRPr="006C65D7" w:rsidRDefault="00866288" w:rsidP="00632105">
      <w:pPr>
        <w:pStyle w:val="ListParagraph"/>
      </w:pPr>
      <w:r w:rsidRPr="006C65D7">
        <w:t>W</w:t>
      </w:r>
      <w:r w:rsidR="002E00A3" w:rsidRPr="006C65D7">
        <w:t>hen that space is required (frequenc</w:t>
      </w:r>
      <w:r w:rsidR="0048001E" w:rsidRPr="006C65D7">
        <w:t>y, times of day, constraints);</w:t>
      </w:r>
    </w:p>
    <w:p w14:paraId="71781A82" w14:textId="028B97CB" w:rsidR="00866288" w:rsidRPr="006C65D7" w:rsidRDefault="0048001E" w:rsidP="00632105">
      <w:pPr>
        <w:pStyle w:val="ListParagraph"/>
      </w:pPr>
      <w:r w:rsidRPr="006C65D7">
        <w:t>What facilities are required;</w:t>
      </w:r>
    </w:p>
    <w:p w14:paraId="76B632E0" w14:textId="79110BED" w:rsidR="002E00A3" w:rsidRPr="006C65D7" w:rsidRDefault="00866288" w:rsidP="00632105">
      <w:pPr>
        <w:pStyle w:val="ListParagraph"/>
      </w:pPr>
      <w:r w:rsidRPr="006C65D7">
        <w:t>W</w:t>
      </w:r>
      <w:r w:rsidR="002E00A3" w:rsidRPr="006C65D7">
        <w:t>hen the timetabl</w:t>
      </w:r>
      <w:r w:rsidR="005F0FD9" w:rsidRPr="006C65D7">
        <w:t>e</w:t>
      </w:r>
      <w:r w:rsidR="002E00A3" w:rsidRPr="006C65D7">
        <w:t xml:space="preserve"> is set and by whom</w:t>
      </w:r>
      <w:r w:rsidRPr="006C65D7">
        <w:t>, and what resources</w:t>
      </w:r>
      <w:r w:rsidR="00441671">
        <w:t>/sy</w:t>
      </w:r>
      <w:r w:rsidR="003B1AFB">
        <w:t>s</w:t>
      </w:r>
      <w:r w:rsidRPr="006C65D7">
        <w:t>tems are used</w:t>
      </w:r>
      <w:r w:rsidR="0048001E" w:rsidRPr="006C65D7">
        <w:t>.</w:t>
      </w:r>
    </w:p>
    <w:p w14:paraId="40DA40C7" w14:textId="10491F0E" w:rsidR="002E00A3" w:rsidRDefault="002E00A3" w:rsidP="00632105">
      <w:pPr>
        <w:pStyle w:val="NumerPara"/>
      </w:pPr>
      <w:r w:rsidRPr="00070582">
        <w:t>To understand the current examinat</w:t>
      </w:r>
      <w:r w:rsidR="00EA7D65">
        <w:t>ion timetable space requirement</w:t>
      </w:r>
      <w:r w:rsidR="00866288">
        <w:t>.</w:t>
      </w:r>
    </w:p>
    <w:p w14:paraId="46DC9B42" w14:textId="77777777" w:rsidR="00632105" w:rsidRDefault="00632105">
      <w:pPr>
        <w:rPr>
          <w:b/>
        </w:rPr>
      </w:pPr>
      <w:r>
        <w:rPr>
          <w:b/>
        </w:rPr>
        <w:br w:type="page"/>
      </w:r>
    </w:p>
    <w:p w14:paraId="7044AD2E" w14:textId="2B8C77CC" w:rsidR="002E00A3" w:rsidRPr="009A50A2" w:rsidRDefault="003E591E" w:rsidP="002E00A3">
      <w:pPr>
        <w:pStyle w:val="ListParagraph"/>
        <w:numPr>
          <w:ilvl w:val="0"/>
          <w:numId w:val="18"/>
        </w:numPr>
        <w:spacing w:line="276" w:lineRule="auto"/>
        <w:rPr>
          <w:b/>
        </w:rPr>
      </w:pPr>
      <w:r>
        <w:rPr>
          <w:b/>
        </w:rPr>
        <w:lastRenderedPageBreak/>
        <w:t>Function and facilities</w:t>
      </w:r>
    </w:p>
    <w:p w14:paraId="12A59B3E" w14:textId="6A73A27F" w:rsidR="00866288" w:rsidRDefault="00866288" w:rsidP="00805CF2">
      <w:pPr>
        <w:pStyle w:val="NumerPara"/>
        <w:numPr>
          <w:ilvl w:val="0"/>
          <w:numId w:val="42"/>
        </w:numPr>
        <w:ind w:left="357" w:hanging="357"/>
        <w:contextualSpacing w:val="0"/>
      </w:pPr>
      <w:r>
        <w:t>To understand what functi</w:t>
      </w:r>
      <w:r w:rsidR="00EA7D65">
        <w:t>onal and design standards exist</w:t>
      </w:r>
      <w:r>
        <w:t>.</w:t>
      </w:r>
    </w:p>
    <w:p w14:paraId="182E56EC" w14:textId="598CE47B" w:rsidR="0048001E" w:rsidRDefault="0048001E" w:rsidP="00805CF2">
      <w:pPr>
        <w:pStyle w:val="NumerPara"/>
        <w:numPr>
          <w:ilvl w:val="0"/>
          <w:numId w:val="42"/>
        </w:numPr>
        <w:ind w:left="357" w:hanging="357"/>
        <w:contextualSpacing w:val="0"/>
      </w:pPr>
      <w:r>
        <w:t xml:space="preserve">To develop a performance specification. </w:t>
      </w:r>
    </w:p>
    <w:p w14:paraId="4185753E" w14:textId="1C112A35" w:rsidR="002E00A3" w:rsidRPr="001D32B8" w:rsidRDefault="001D32B8" w:rsidP="00805CF2">
      <w:pPr>
        <w:pStyle w:val="NumerPara"/>
        <w:numPr>
          <w:ilvl w:val="0"/>
          <w:numId w:val="42"/>
        </w:numPr>
        <w:ind w:left="357" w:hanging="357"/>
        <w:contextualSpacing w:val="0"/>
      </w:pPr>
      <w:r>
        <w:t xml:space="preserve">To audit </w:t>
      </w:r>
      <w:r w:rsidR="005F0FD9">
        <w:t xml:space="preserve">the </w:t>
      </w:r>
      <w:r w:rsidR="003E591E">
        <w:t xml:space="preserve">function and facilities </w:t>
      </w:r>
      <w:r w:rsidR="0081483C">
        <w:t xml:space="preserve">of current </w:t>
      </w:r>
      <w:r w:rsidR="0048001E">
        <w:t xml:space="preserve">shareable teaching </w:t>
      </w:r>
      <w:r w:rsidR="0081483C">
        <w:t>space</w:t>
      </w:r>
      <w:r w:rsidR="00750963">
        <w:t>.</w:t>
      </w:r>
    </w:p>
    <w:p w14:paraId="1C6E9DC0" w14:textId="77777777" w:rsidR="002E00A3" w:rsidRDefault="002E00A3" w:rsidP="006C65D7">
      <w:pPr>
        <w:pStyle w:val="ListParagraph"/>
        <w:numPr>
          <w:ilvl w:val="0"/>
          <w:numId w:val="0"/>
        </w:numPr>
        <w:spacing w:line="276" w:lineRule="auto"/>
        <w:ind w:left="360"/>
      </w:pPr>
    </w:p>
    <w:p w14:paraId="15B4A68A" w14:textId="7A32EB32" w:rsidR="002E00A3" w:rsidRPr="009A50A2" w:rsidRDefault="002E00A3" w:rsidP="002E00A3">
      <w:pPr>
        <w:pStyle w:val="ListParagraph"/>
        <w:numPr>
          <w:ilvl w:val="0"/>
          <w:numId w:val="18"/>
        </w:numPr>
        <w:spacing w:line="276" w:lineRule="auto"/>
        <w:rPr>
          <w:b/>
        </w:rPr>
      </w:pPr>
      <w:r w:rsidRPr="009A50A2">
        <w:rPr>
          <w:b/>
        </w:rPr>
        <w:t>Efficient &amp; Effective Estate</w:t>
      </w:r>
    </w:p>
    <w:p w14:paraId="783BC1C1" w14:textId="332945CB" w:rsidR="00134F8D" w:rsidRDefault="00070582" w:rsidP="00632105">
      <w:pPr>
        <w:pStyle w:val="NumerPara"/>
        <w:numPr>
          <w:ilvl w:val="0"/>
          <w:numId w:val="41"/>
        </w:numPr>
        <w:ind w:left="357" w:hanging="357"/>
        <w:contextualSpacing w:val="0"/>
      </w:pPr>
      <w:r w:rsidRPr="001D32B8">
        <w:t>To understand the current space across the estate</w:t>
      </w:r>
      <w:r w:rsidR="00C05B6D">
        <w:t xml:space="preserve"> that is available for teaching</w:t>
      </w:r>
      <w:r w:rsidR="005F0FD9">
        <w:t xml:space="preserve">, learning </w:t>
      </w:r>
      <w:r w:rsidR="00254196">
        <w:t>and examination purposes, including:</w:t>
      </w:r>
      <w:r w:rsidR="001D32B8" w:rsidRPr="001D32B8">
        <w:t xml:space="preserve"> </w:t>
      </w:r>
      <w:r w:rsidR="00F10EE1">
        <w:t>s</w:t>
      </w:r>
      <w:r w:rsidR="00F10EE1" w:rsidRPr="001D32B8">
        <w:t xml:space="preserve">eating </w:t>
      </w:r>
      <w:r w:rsidR="00F10EE1">
        <w:t>c</w:t>
      </w:r>
      <w:r w:rsidR="00F10EE1" w:rsidRPr="001D32B8">
        <w:t>apacity</w:t>
      </w:r>
      <w:r w:rsidR="001D32B8" w:rsidRPr="001D32B8">
        <w:t xml:space="preserve">; </w:t>
      </w:r>
      <w:r w:rsidR="00F10EE1">
        <w:t>s</w:t>
      </w:r>
      <w:r w:rsidR="00F10EE1" w:rsidRPr="001D32B8">
        <w:t xml:space="preserve">eating </w:t>
      </w:r>
      <w:r w:rsidR="00F10EE1">
        <w:t>s</w:t>
      </w:r>
      <w:r w:rsidR="00F10EE1" w:rsidRPr="001D32B8">
        <w:t>tyle</w:t>
      </w:r>
      <w:r w:rsidR="001D32B8" w:rsidRPr="001D32B8">
        <w:t xml:space="preserve">; </w:t>
      </w:r>
      <w:r w:rsidR="00F10EE1">
        <w:t>t</w:t>
      </w:r>
      <w:r w:rsidR="00F10EE1" w:rsidRPr="001D32B8">
        <w:t xml:space="preserve">eaching </w:t>
      </w:r>
      <w:r w:rsidR="00F10EE1">
        <w:t>a</w:t>
      </w:r>
      <w:r w:rsidR="00F10EE1" w:rsidRPr="001D32B8">
        <w:t xml:space="preserve">ids </w:t>
      </w:r>
      <w:r w:rsidR="00254196">
        <w:t>(</w:t>
      </w:r>
      <w:r w:rsidR="001D32B8" w:rsidRPr="001D32B8">
        <w:t>projector, whiteboards, PA system</w:t>
      </w:r>
      <w:r w:rsidR="00254196">
        <w:t>)</w:t>
      </w:r>
      <w:r w:rsidR="001D32B8" w:rsidRPr="001D32B8">
        <w:t xml:space="preserve">; </w:t>
      </w:r>
      <w:r w:rsidR="00F10EE1">
        <w:t>a</w:t>
      </w:r>
      <w:r w:rsidR="00F10EE1" w:rsidRPr="001D32B8">
        <w:t xml:space="preserve">dditional </w:t>
      </w:r>
      <w:r w:rsidR="001D32B8" w:rsidRPr="001D32B8">
        <w:t xml:space="preserve">facilities such as prep rooms; </w:t>
      </w:r>
      <w:r w:rsidR="00F10EE1">
        <w:t>s</w:t>
      </w:r>
      <w:r w:rsidR="00F10EE1" w:rsidRPr="001D32B8">
        <w:t xml:space="preserve">pecialist </w:t>
      </w:r>
      <w:r w:rsidR="001D32B8" w:rsidRPr="001D32B8">
        <w:t xml:space="preserve">equipment; </w:t>
      </w:r>
      <w:r w:rsidR="00F10EE1">
        <w:t>f</w:t>
      </w:r>
      <w:r w:rsidR="00F10EE1" w:rsidRPr="001D32B8">
        <w:t xml:space="preserve">lexibility </w:t>
      </w:r>
      <w:r w:rsidR="001D32B8" w:rsidRPr="001D32B8">
        <w:t xml:space="preserve">(partitions, moveable furniture); </w:t>
      </w:r>
      <w:r w:rsidR="00F10EE1">
        <w:t>a</w:t>
      </w:r>
      <w:r w:rsidR="00F10EE1" w:rsidRPr="001D32B8">
        <w:t xml:space="preserve">ccessibility </w:t>
      </w:r>
      <w:r w:rsidR="001D32B8" w:rsidRPr="001D32B8">
        <w:t>(disability, location, security, opening hours)</w:t>
      </w:r>
      <w:r w:rsidR="005F0FD9">
        <w:t>.</w:t>
      </w:r>
    </w:p>
    <w:p w14:paraId="7490CACC" w14:textId="3F729325" w:rsidR="00134F8D" w:rsidRPr="00134F8D" w:rsidRDefault="00134F8D" w:rsidP="00632105">
      <w:pPr>
        <w:pStyle w:val="NumerPara"/>
        <w:numPr>
          <w:ilvl w:val="0"/>
          <w:numId w:val="41"/>
        </w:numPr>
        <w:ind w:left="357" w:hanging="357"/>
        <w:contextualSpacing w:val="0"/>
      </w:pPr>
      <w:r w:rsidRPr="00134F8D">
        <w:t>To understand planned development work across the estate by gathering</w:t>
      </w:r>
      <w:r w:rsidR="00F10EE1">
        <w:t xml:space="preserve"> a</w:t>
      </w:r>
      <w:r w:rsidRPr="00134F8D">
        <w:t xml:space="preserve"> summary of projects underway with </w:t>
      </w:r>
      <w:r w:rsidR="005F0FD9">
        <w:t>g</w:t>
      </w:r>
      <w:r w:rsidRPr="00134F8D">
        <w:t>overnance arrangements and timefram</w:t>
      </w:r>
      <w:r w:rsidR="00EA7D65">
        <w:t>es for implementation</w:t>
      </w:r>
      <w:r w:rsidR="005F0FD9">
        <w:t>.</w:t>
      </w:r>
    </w:p>
    <w:p w14:paraId="731F256C" w14:textId="4ACD696A" w:rsidR="00070582" w:rsidRPr="001D32B8" w:rsidRDefault="001D32B8" w:rsidP="00632105">
      <w:pPr>
        <w:pStyle w:val="NumerPara"/>
        <w:numPr>
          <w:ilvl w:val="0"/>
          <w:numId w:val="41"/>
        </w:numPr>
        <w:ind w:left="357" w:hanging="357"/>
        <w:contextualSpacing w:val="0"/>
      </w:pPr>
      <w:r>
        <w:t xml:space="preserve">To investigate </w:t>
      </w:r>
      <w:r w:rsidR="00070582" w:rsidRPr="001D32B8">
        <w:t xml:space="preserve">a tool </w:t>
      </w:r>
      <w:r w:rsidR="00254196">
        <w:t>that would</w:t>
      </w:r>
      <w:r>
        <w:t xml:space="preserve"> </w:t>
      </w:r>
      <w:r w:rsidR="00070582" w:rsidRPr="001D32B8">
        <w:t xml:space="preserve">produce the </w:t>
      </w:r>
      <w:r w:rsidR="005240E3">
        <w:t xml:space="preserve">space modelling </w:t>
      </w:r>
      <w:r w:rsidR="00070582" w:rsidRPr="001D32B8">
        <w:t xml:space="preserve">analysis currently undertaken by a temporary worker that will continue to inform decisions taken by the PRC, Site Development Boards, and Project Boards. </w:t>
      </w:r>
    </w:p>
    <w:p w14:paraId="269C4D7B" w14:textId="77777777" w:rsidR="00A745A6" w:rsidRDefault="00A745A6">
      <w:pPr>
        <w:rPr>
          <w:rFonts w:asciiTheme="majorHAnsi" w:eastAsiaTheme="majorEastAsia" w:hAnsiTheme="majorHAnsi" w:cstheme="majorBidi"/>
          <w:sz w:val="56"/>
          <w:szCs w:val="56"/>
        </w:rPr>
      </w:pPr>
      <w:r>
        <w:br w:type="page"/>
      </w:r>
    </w:p>
    <w:p w14:paraId="4F339744" w14:textId="3B3363A7" w:rsidR="00A745A6" w:rsidRPr="0046066D" w:rsidRDefault="0074147A" w:rsidP="0046066D">
      <w:pPr>
        <w:pStyle w:val="Title"/>
      </w:pPr>
      <w:bookmarkStart w:id="19" w:name="_Toc491781089"/>
      <w:r>
        <w:lastRenderedPageBreak/>
        <w:t>D</w:t>
      </w:r>
      <w:r w:rsidR="00A745A6" w:rsidRPr="0046066D">
        <w:t>: References</w:t>
      </w:r>
      <w:bookmarkEnd w:id="19"/>
    </w:p>
    <w:p w14:paraId="2C6375A9" w14:textId="77777777" w:rsidR="00FE4408" w:rsidRPr="00855982" w:rsidRDefault="002D7FF0" w:rsidP="00C027FD">
      <w:pPr>
        <w:pStyle w:val="Heading1"/>
        <w:spacing w:line="276" w:lineRule="auto"/>
      </w:pPr>
      <w:bookmarkStart w:id="20" w:name="_Toc491781090"/>
      <w:r>
        <w:t>S</w:t>
      </w:r>
      <w:r w:rsidR="00FE4408">
        <w:t>takeholders</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CE7B36" w:rsidRPr="001B05E5" w14:paraId="11647827" w14:textId="77777777" w:rsidTr="00CE7B36">
        <w:tc>
          <w:tcPr>
            <w:tcW w:w="2410" w:type="dxa"/>
          </w:tcPr>
          <w:p w14:paraId="7EA59FB2" w14:textId="77777777" w:rsidR="00CE7B36" w:rsidRPr="00E836CC" w:rsidRDefault="00CE7B36" w:rsidP="00C027FD">
            <w:pPr>
              <w:spacing w:line="276" w:lineRule="auto"/>
              <w:rPr>
                <w:b/>
              </w:rPr>
            </w:pPr>
            <w:r>
              <w:rPr>
                <w:b/>
              </w:rPr>
              <w:t>Central offices</w:t>
            </w:r>
            <w:r w:rsidRPr="00E836CC">
              <w:rPr>
                <w:b/>
              </w:rPr>
              <w:t>:</w:t>
            </w:r>
          </w:p>
        </w:tc>
        <w:tc>
          <w:tcPr>
            <w:tcW w:w="6946" w:type="dxa"/>
          </w:tcPr>
          <w:p w14:paraId="0755A50A" w14:textId="77777777" w:rsidR="0011255B" w:rsidRDefault="0011255B" w:rsidP="0011255B">
            <w:pPr>
              <w:spacing w:line="276" w:lineRule="auto"/>
            </w:pPr>
            <w:r>
              <w:t>Pro-Vice-Chancellors</w:t>
            </w:r>
          </w:p>
          <w:p w14:paraId="7BA91472" w14:textId="208252E0" w:rsidR="0011255B" w:rsidRDefault="0011255B" w:rsidP="00C027FD">
            <w:pPr>
              <w:spacing w:line="276" w:lineRule="auto"/>
            </w:pPr>
            <w:r>
              <w:t>Estate Management</w:t>
            </w:r>
          </w:p>
          <w:p w14:paraId="2B0089F8" w14:textId="5968A354" w:rsidR="0011255B" w:rsidRDefault="0011255B" w:rsidP="00C027FD">
            <w:pPr>
              <w:spacing w:line="276" w:lineRule="auto"/>
            </w:pPr>
            <w:r>
              <w:t>Academic Division</w:t>
            </w:r>
          </w:p>
          <w:p w14:paraId="1E4EA3AF" w14:textId="49EA4611" w:rsidR="0011255B" w:rsidRDefault="0011255B" w:rsidP="00C027FD">
            <w:pPr>
              <w:spacing w:line="276" w:lineRule="auto"/>
            </w:pPr>
            <w:r>
              <w:t>UIS</w:t>
            </w:r>
          </w:p>
          <w:p w14:paraId="07833994" w14:textId="5044A0F5" w:rsidR="006C15D5" w:rsidRDefault="006C15D5" w:rsidP="00C027FD">
            <w:pPr>
              <w:spacing w:line="276" w:lineRule="auto"/>
            </w:pPr>
            <w:r>
              <w:t>PRC</w:t>
            </w:r>
          </w:p>
          <w:p w14:paraId="6C479678" w14:textId="5316C140" w:rsidR="004E1D69" w:rsidRPr="001B05E5" w:rsidRDefault="004E1D69" w:rsidP="0011255B">
            <w:pPr>
              <w:spacing w:line="276" w:lineRule="auto"/>
            </w:pPr>
            <w:r>
              <w:t>Finance Division (Procurement Services)</w:t>
            </w:r>
          </w:p>
        </w:tc>
      </w:tr>
      <w:tr w:rsidR="00CE7B36" w:rsidRPr="001B05E5" w14:paraId="45268204" w14:textId="77777777" w:rsidTr="00CE7B36">
        <w:tc>
          <w:tcPr>
            <w:tcW w:w="2410" w:type="dxa"/>
          </w:tcPr>
          <w:p w14:paraId="56621BB3" w14:textId="4EB9C124" w:rsidR="00CE7B36" w:rsidRDefault="00CE7B36" w:rsidP="00C027FD">
            <w:pPr>
              <w:spacing w:line="276" w:lineRule="auto"/>
              <w:rPr>
                <w:b/>
              </w:rPr>
            </w:pPr>
          </w:p>
        </w:tc>
        <w:tc>
          <w:tcPr>
            <w:tcW w:w="6946" w:type="dxa"/>
          </w:tcPr>
          <w:p w14:paraId="0CCD9053" w14:textId="77777777" w:rsidR="00CE7B36" w:rsidRDefault="00CE7B36" w:rsidP="00C027FD">
            <w:pPr>
              <w:spacing w:line="276" w:lineRule="auto"/>
            </w:pPr>
          </w:p>
        </w:tc>
      </w:tr>
      <w:tr w:rsidR="00CE7B36" w:rsidRPr="001B05E5" w14:paraId="4FA8E138" w14:textId="77777777" w:rsidTr="00CE7B36">
        <w:tc>
          <w:tcPr>
            <w:tcW w:w="2410" w:type="dxa"/>
          </w:tcPr>
          <w:p w14:paraId="7156A054" w14:textId="77777777" w:rsidR="00CE7B36" w:rsidRDefault="00CE7B36" w:rsidP="00C027FD">
            <w:pPr>
              <w:spacing w:line="276" w:lineRule="auto"/>
              <w:rPr>
                <w:b/>
              </w:rPr>
            </w:pPr>
            <w:r>
              <w:rPr>
                <w:b/>
              </w:rPr>
              <w:t>Schools:</w:t>
            </w:r>
          </w:p>
        </w:tc>
        <w:tc>
          <w:tcPr>
            <w:tcW w:w="6946" w:type="dxa"/>
          </w:tcPr>
          <w:p w14:paraId="72DB3E70" w14:textId="5FF753E9" w:rsidR="0011255B" w:rsidRDefault="0011255B" w:rsidP="00C027FD">
            <w:pPr>
              <w:spacing w:line="276" w:lineRule="auto"/>
            </w:pPr>
            <w:r>
              <w:t>Heads of School</w:t>
            </w:r>
          </w:p>
          <w:p w14:paraId="23519E4B" w14:textId="77777777" w:rsidR="00CE7B36" w:rsidRDefault="00CE7B36" w:rsidP="00C027FD">
            <w:pPr>
              <w:spacing w:line="276" w:lineRule="auto"/>
            </w:pPr>
            <w:r>
              <w:t>Heads of Faculties and Departments</w:t>
            </w:r>
          </w:p>
          <w:p w14:paraId="0D326CC1" w14:textId="70CF484D" w:rsidR="00CE7B36" w:rsidRDefault="0011255B" w:rsidP="00C027FD">
            <w:pPr>
              <w:spacing w:line="276" w:lineRule="auto"/>
            </w:pPr>
            <w:r>
              <w:t xml:space="preserve">Teaching staff </w:t>
            </w:r>
          </w:p>
          <w:p w14:paraId="483215DA" w14:textId="77777777" w:rsidR="00CE7B36" w:rsidRDefault="0011255B" w:rsidP="0011255B">
            <w:pPr>
              <w:spacing w:line="276" w:lineRule="auto"/>
            </w:pPr>
            <w:r>
              <w:t>Teaching support staff</w:t>
            </w:r>
          </w:p>
          <w:p w14:paraId="447D1853" w14:textId="643C7637" w:rsidR="00FC66F3" w:rsidRDefault="00FC66F3" w:rsidP="0011255B">
            <w:pPr>
              <w:spacing w:line="276" w:lineRule="auto"/>
            </w:pPr>
            <w:r>
              <w:t>School administrative staff</w:t>
            </w:r>
          </w:p>
          <w:p w14:paraId="5C0890D3" w14:textId="25709574" w:rsidR="00FC66F3" w:rsidRDefault="00FC66F3" w:rsidP="0011255B">
            <w:pPr>
              <w:spacing w:line="276" w:lineRule="auto"/>
            </w:pPr>
            <w:r>
              <w:t>Departmental administrative staff</w:t>
            </w:r>
          </w:p>
        </w:tc>
      </w:tr>
      <w:tr w:rsidR="00D766D8" w:rsidRPr="001B05E5" w14:paraId="65A8E913" w14:textId="77777777" w:rsidTr="00CE7B36">
        <w:tc>
          <w:tcPr>
            <w:tcW w:w="2410" w:type="dxa"/>
          </w:tcPr>
          <w:p w14:paraId="75FD5E36" w14:textId="0E1AF09D" w:rsidR="00D766D8" w:rsidRDefault="00D766D8" w:rsidP="00C027FD">
            <w:pPr>
              <w:spacing w:line="276" w:lineRule="auto"/>
              <w:rPr>
                <w:b/>
              </w:rPr>
            </w:pPr>
          </w:p>
        </w:tc>
        <w:tc>
          <w:tcPr>
            <w:tcW w:w="6946" w:type="dxa"/>
          </w:tcPr>
          <w:p w14:paraId="14143102" w14:textId="77777777" w:rsidR="00D766D8" w:rsidRDefault="00D766D8" w:rsidP="00C027FD">
            <w:pPr>
              <w:spacing w:line="276" w:lineRule="auto"/>
            </w:pPr>
          </w:p>
        </w:tc>
      </w:tr>
      <w:tr w:rsidR="00CE7B36" w:rsidRPr="001B05E5" w14:paraId="1D94C70C" w14:textId="77777777" w:rsidTr="00CE7B36">
        <w:tc>
          <w:tcPr>
            <w:tcW w:w="2410" w:type="dxa"/>
          </w:tcPr>
          <w:p w14:paraId="275058C8" w14:textId="77777777" w:rsidR="00CE7B36" w:rsidRDefault="00CE7B36" w:rsidP="00C027FD">
            <w:pPr>
              <w:spacing w:line="276" w:lineRule="auto"/>
              <w:rPr>
                <w:b/>
              </w:rPr>
            </w:pPr>
            <w:r>
              <w:rPr>
                <w:b/>
              </w:rPr>
              <w:t>Students:</w:t>
            </w:r>
          </w:p>
        </w:tc>
        <w:tc>
          <w:tcPr>
            <w:tcW w:w="6946" w:type="dxa"/>
          </w:tcPr>
          <w:p w14:paraId="27DC6A5E" w14:textId="6E88961F" w:rsidR="00CE7B36" w:rsidRDefault="00CE7B36" w:rsidP="00C027FD">
            <w:pPr>
              <w:spacing w:line="276" w:lineRule="auto"/>
            </w:pPr>
            <w:r>
              <w:t>Undergraduate</w:t>
            </w:r>
          </w:p>
          <w:p w14:paraId="4DE964F3" w14:textId="77777777" w:rsidR="00CE7B36" w:rsidRDefault="00CE7B36" w:rsidP="00C027FD">
            <w:pPr>
              <w:spacing w:line="276" w:lineRule="auto"/>
            </w:pPr>
            <w:r>
              <w:t>Postgraduate</w:t>
            </w:r>
          </w:p>
          <w:p w14:paraId="2AFE16BE" w14:textId="08F4221E" w:rsidR="00414CFA" w:rsidRDefault="00414CFA" w:rsidP="00C027FD">
            <w:pPr>
              <w:spacing w:line="276" w:lineRule="auto"/>
            </w:pPr>
            <w:r>
              <w:t>Part-time</w:t>
            </w:r>
          </w:p>
          <w:p w14:paraId="642DDC8B" w14:textId="77777777" w:rsidR="00CE7B36" w:rsidRDefault="00CE7B36" w:rsidP="00C027FD">
            <w:pPr>
              <w:spacing w:line="276" w:lineRule="auto"/>
            </w:pPr>
            <w:r>
              <w:t>Visiting students</w:t>
            </w:r>
          </w:p>
          <w:p w14:paraId="4E729A42" w14:textId="77777777" w:rsidR="00CE7B36" w:rsidRDefault="00CE7B36" w:rsidP="00C027FD">
            <w:pPr>
              <w:spacing w:line="276" w:lineRule="auto"/>
            </w:pPr>
            <w:r>
              <w:t>Exchange students</w:t>
            </w:r>
          </w:p>
        </w:tc>
      </w:tr>
      <w:tr w:rsidR="0011255B" w:rsidRPr="001B05E5" w14:paraId="75731E70" w14:textId="77777777" w:rsidTr="007B5AE0">
        <w:tc>
          <w:tcPr>
            <w:tcW w:w="2410" w:type="dxa"/>
          </w:tcPr>
          <w:p w14:paraId="563EF7CE" w14:textId="77777777" w:rsidR="0011255B" w:rsidRDefault="0011255B" w:rsidP="007B5AE0">
            <w:pPr>
              <w:spacing w:line="276" w:lineRule="auto"/>
              <w:rPr>
                <w:b/>
              </w:rPr>
            </w:pPr>
          </w:p>
        </w:tc>
        <w:tc>
          <w:tcPr>
            <w:tcW w:w="6946" w:type="dxa"/>
          </w:tcPr>
          <w:p w14:paraId="48B57C6C" w14:textId="77777777" w:rsidR="0011255B" w:rsidRDefault="0011255B" w:rsidP="0011255B">
            <w:pPr>
              <w:spacing w:line="276" w:lineRule="auto"/>
            </w:pPr>
          </w:p>
        </w:tc>
      </w:tr>
      <w:tr w:rsidR="0011255B" w:rsidRPr="001B05E5" w14:paraId="39189C10" w14:textId="77777777" w:rsidTr="007B5AE0">
        <w:tc>
          <w:tcPr>
            <w:tcW w:w="2410" w:type="dxa"/>
          </w:tcPr>
          <w:p w14:paraId="33AE3508" w14:textId="0027F5D9" w:rsidR="0011255B" w:rsidRDefault="0011255B" w:rsidP="007B5AE0">
            <w:pPr>
              <w:spacing w:line="276" w:lineRule="auto"/>
              <w:rPr>
                <w:b/>
              </w:rPr>
            </w:pPr>
            <w:r>
              <w:rPr>
                <w:b/>
              </w:rPr>
              <w:t>Colleges:</w:t>
            </w:r>
          </w:p>
        </w:tc>
        <w:tc>
          <w:tcPr>
            <w:tcW w:w="6946" w:type="dxa"/>
          </w:tcPr>
          <w:p w14:paraId="3E28AA43" w14:textId="1F8B26D9" w:rsidR="0011255B" w:rsidRDefault="0011255B" w:rsidP="0011255B">
            <w:pPr>
              <w:spacing w:line="276" w:lineRule="auto"/>
            </w:pPr>
            <w:r>
              <w:t>Bursars</w:t>
            </w:r>
          </w:p>
        </w:tc>
      </w:tr>
      <w:tr w:rsidR="00CE7B36" w:rsidRPr="001B05E5" w14:paraId="471C119D" w14:textId="77777777" w:rsidTr="00CE7B36">
        <w:tc>
          <w:tcPr>
            <w:tcW w:w="2410" w:type="dxa"/>
          </w:tcPr>
          <w:p w14:paraId="6FA4CE81" w14:textId="77777777" w:rsidR="00CE7B36" w:rsidRDefault="00CE7B36" w:rsidP="00C027FD">
            <w:pPr>
              <w:spacing w:line="276" w:lineRule="auto"/>
              <w:rPr>
                <w:b/>
              </w:rPr>
            </w:pPr>
          </w:p>
        </w:tc>
        <w:tc>
          <w:tcPr>
            <w:tcW w:w="6946" w:type="dxa"/>
          </w:tcPr>
          <w:p w14:paraId="5E78F48F" w14:textId="614AF454" w:rsidR="00AB1EC7" w:rsidRDefault="00AB1EC7" w:rsidP="00C027FD">
            <w:pPr>
              <w:spacing w:line="276" w:lineRule="auto"/>
            </w:pPr>
            <w:r>
              <w:t>Teaching staff</w:t>
            </w:r>
          </w:p>
          <w:p w14:paraId="20931F14" w14:textId="385E05B6" w:rsidR="00CE7B36" w:rsidRDefault="0011255B" w:rsidP="00C027FD">
            <w:pPr>
              <w:spacing w:line="276" w:lineRule="auto"/>
            </w:pPr>
            <w:r>
              <w:t>Conference staff</w:t>
            </w:r>
          </w:p>
        </w:tc>
      </w:tr>
      <w:tr w:rsidR="0011255B" w:rsidRPr="001B05E5" w14:paraId="2E89B8E4" w14:textId="77777777" w:rsidTr="00CE7B36">
        <w:tc>
          <w:tcPr>
            <w:tcW w:w="2410" w:type="dxa"/>
          </w:tcPr>
          <w:p w14:paraId="31AB9186" w14:textId="77777777" w:rsidR="0011255B" w:rsidRDefault="0011255B" w:rsidP="00C027FD">
            <w:pPr>
              <w:spacing w:line="276" w:lineRule="auto"/>
              <w:rPr>
                <w:b/>
              </w:rPr>
            </w:pPr>
          </w:p>
        </w:tc>
        <w:tc>
          <w:tcPr>
            <w:tcW w:w="6946" w:type="dxa"/>
          </w:tcPr>
          <w:p w14:paraId="1DFA833F" w14:textId="77777777" w:rsidR="0011255B" w:rsidRDefault="0011255B" w:rsidP="00C027FD">
            <w:pPr>
              <w:spacing w:line="276" w:lineRule="auto"/>
            </w:pPr>
          </w:p>
        </w:tc>
      </w:tr>
      <w:tr w:rsidR="00CE7B36" w:rsidRPr="001B05E5" w14:paraId="3473371A" w14:textId="77777777" w:rsidTr="00CE7B36">
        <w:tc>
          <w:tcPr>
            <w:tcW w:w="2410" w:type="dxa"/>
          </w:tcPr>
          <w:p w14:paraId="1ADC9B97" w14:textId="77777777" w:rsidR="00CE7B36" w:rsidRDefault="00CE7B36" w:rsidP="00C027FD">
            <w:pPr>
              <w:spacing w:line="276" w:lineRule="auto"/>
              <w:rPr>
                <w:b/>
              </w:rPr>
            </w:pPr>
            <w:r>
              <w:rPr>
                <w:b/>
              </w:rPr>
              <w:t>External:</w:t>
            </w:r>
          </w:p>
        </w:tc>
        <w:tc>
          <w:tcPr>
            <w:tcW w:w="6946" w:type="dxa"/>
          </w:tcPr>
          <w:p w14:paraId="02CCF804" w14:textId="5659DCF0" w:rsidR="00AB1EC7" w:rsidRDefault="00AB1EC7" w:rsidP="00C027FD">
            <w:pPr>
              <w:spacing w:line="276" w:lineRule="auto"/>
            </w:pPr>
            <w:r>
              <w:t>Affiliate institutions</w:t>
            </w:r>
          </w:p>
          <w:p w14:paraId="06BA79D3" w14:textId="77777777" w:rsidR="00027E65" w:rsidRDefault="0011255B" w:rsidP="00C027FD">
            <w:pPr>
              <w:spacing w:line="276" w:lineRule="auto"/>
            </w:pPr>
            <w:r>
              <w:t>Conference users</w:t>
            </w:r>
          </w:p>
          <w:p w14:paraId="76805614" w14:textId="507DD753" w:rsidR="00AB1EC7" w:rsidRDefault="00AB1EC7" w:rsidP="00C027FD">
            <w:pPr>
              <w:spacing w:line="276" w:lineRule="auto"/>
            </w:pPr>
          </w:p>
        </w:tc>
      </w:tr>
    </w:tbl>
    <w:p w14:paraId="41C47DF7" w14:textId="5B800AFC" w:rsidR="00E0766D" w:rsidRDefault="00E0766D" w:rsidP="00335BD9">
      <w:pPr>
        <w:pStyle w:val="Heading1"/>
        <w:spacing w:line="276" w:lineRule="auto"/>
      </w:pPr>
      <w:bookmarkStart w:id="21" w:name="_Toc491781091"/>
      <w:r>
        <w:t>Terminology</w:t>
      </w:r>
      <w:bookmarkEnd w:id="21"/>
    </w:p>
    <w:p w14:paraId="56B4C9B7" w14:textId="0B70E5B3" w:rsidR="005C7DA9" w:rsidRDefault="005C7DA9" w:rsidP="005C7DA9">
      <w:pPr>
        <w:spacing w:line="276" w:lineRule="auto"/>
      </w:pPr>
      <w:r>
        <w:t xml:space="preserve">Functional Suitability – </w:t>
      </w:r>
      <w:hyperlink r:id="rId17" w:history="1">
        <w:r w:rsidRPr="003C0248">
          <w:rPr>
            <w:rStyle w:val="Hyperlink"/>
          </w:rPr>
          <w:t>http://theoakleafgroup.co.uk/education-sector-surveys/functional-suitability-review-education</w:t>
        </w:r>
      </w:hyperlink>
      <w:r>
        <w:t xml:space="preserve">  and</w:t>
      </w:r>
      <w:r w:rsidR="0048001E">
        <w:t xml:space="preserve"> </w:t>
      </w:r>
      <w:hyperlink r:id="rId18" w:history="1">
        <w:r w:rsidRPr="003C0248">
          <w:rPr>
            <w:rStyle w:val="Hyperlink"/>
          </w:rPr>
          <w:t>https://www.hesa.ac.uk/collection/c15042/a/functionalsuitability</w:t>
        </w:r>
      </w:hyperlink>
      <w:r>
        <w:t xml:space="preserve"> </w:t>
      </w:r>
    </w:p>
    <w:p w14:paraId="4315A169" w14:textId="151160F1" w:rsidR="004414BA" w:rsidRDefault="004414BA" w:rsidP="005C7DA9">
      <w:pPr>
        <w:spacing w:line="276" w:lineRule="auto"/>
        <w:rPr>
          <w:rFonts w:asciiTheme="majorHAnsi" w:eastAsiaTheme="majorEastAsia" w:hAnsiTheme="majorHAnsi" w:cstheme="majorBidi"/>
          <w:b/>
          <w:bCs/>
          <w:smallCaps/>
          <w:sz w:val="36"/>
          <w:szCs w:val="36"/>
        </w:rPr>
      </w:pPr>
    </w:p>
    <w:sectPr w:rsidR="004414BA" w:rsidSect="001F1D95">
      <w:headerReference w:type="default" r:id="rId19"/>
      <w:footerReference w:type="default" r:id="rId20"/>
      <w:headerReference w:type="first" r:id="rId21"/>
      <w:footerReference w:type="first" r:id="rId22"/>
      <w:pgSz w:w="12240" w:h="15840"/>
      <w:pgMar w:top="851" w:right="1134" w:bottom="1134" w:left="1134"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BB788" w14:textId="77777777" w:rsidR="00023357" w:rsidRDefault="00023357" w:rsidP="00855982">
      <w:pPr>
        <w:spacing w:after="0" w:line="240" w:lineRule="auto"/>
      </w:pPr>
      <w:r>
        <w:separator/>
      </w:r>
    </w:p>
  </w:endnote>
  <w:endnote w:type="continuationSeparator" w:id="0">
    <w:p w14:paraId="658B0643" w14:textId="77777777" w:rsidR="00023357" w:rsidRDefault="00023357"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389354"/>
      <w:docPartObj>
        <w:docPartGallery w:val="Page Numbers (Bottom of Page)"/>
        <w:docPartUnique/>
      </w:docPartObj>
    </w:sdtPr>
    <w:sdtEndPr>
      <w:rPr>
        <w:noProof/>
      </w:rPr>
    </w:sdtEndPr>
    <w:sdtContent>
      <w:p w14:paraId="6C5A12C1" w14:textId="77777777" w:rsidR="00023357" w:rsidRDefault="00023357" w:rsidP="009D4845">
        <w:pPr>
          <w:pStyle w:val="Footer"/>
          <w:jc w:val="right"/>
        </w:pPr>
        <w:r>
          <w:fldChar w:fldCharType="begin"/>
        </w:r>
        <w:r>
          <w:instrText xml:space="preserve"> PAGE   \* MERGEFORMAT </w:instrText>
        </w:r>
        <w:r>
          <w:fldChar w:fldCharType="separate"/>
        </w:r>
        <w:r w:rsidR="00B42FB3">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58949"/>
      <w:docPartObj>
        <w:docPartGallery w:val="Page Numbers (Bottom of Page)"/>
        <w:docPartUnique/>
      </w:docPartObj>
    </w:sdtPr>
    <w:sdtEndPr>
      <w:rPr>
        <w:noProof/>
      </w:rPr>
    </w:sdtEndPr>
    <w:sdtContent>
      <w:p w14:paraId="5222669B" w14:textId="51475D04" w:rsidR="00546411" w:rsidRDefault="00546411">
        <w:pPr>
          <w:pStyle w:val="Footer"/>
          <w:jc w:val="right"/>
        </w:pPr>
        <w:r>
          <w:fldChar w:fldCharType="begin"/>
        </w:r>
        <w:r>
          <w:instrText xml:space="preserve"> PAGE   \* MERGEFORMAT </w:instrText>
        </w:r>
        <w:r>
          <w:fldChar w:fldCharType="separate"/>
        </w:r>
        <w:r w:rsidR="00B42FB3">
          <w:rPr>
            <w:noProof/>
          </w:rPr>
          <w:t>1</w:t>
        </w:r>
        <w:r>
          <w:rPr>
            <w:noProof/>
          </w:rPr>
          <w:fldChar w:fldCharType="end"/>
        </w:r>
      </w:p>
    </w:sdtContent>
  </w:sdt>
  <w:p w14:paraId="552101F2" w14:textId="5D5150CF" w:rsidR="00023357" w:rsidRPr="00546411" w:rsidRDefault="00546411">
    <w:pPr>
      <w:pStyle w:val="Footer"/>
      <w:rPr>
        <w:sz w:val="22"/>
      </w:rPr>
    </w:pPr>
    <w:r w:rsidRPr="00546411">
      <w:rPr>
        <w:sz w:val="22"/>
      </w:rPr>
      <w:t>Issued: 29 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22AA1" w14:textId="77777777" w:rsidR="00023357" w:rsidRDefault="00023357" w:rsidP="00855982">
      <w:pPr>
        <w:spacing w:after="0" w:line="240" w:lineRule="auto"/>
      </w:pPr>
      <w:r>
        <w:separator/>
      </w:r>
    </w:p>
  </w:footnote>
  <w:footnote w:type="continuationSeparator" w:id="0">
    <w:p w14:paraId="0781D80E" w14:textId="77777777" w:rsidR="00023357" w:rsidRDefault="00023357" w:rsidP="00855982">
      <w:pPr>
        <w:spacing w:after="0" w:line="240" w:lineRule="auto"/>
      </w:pPr>
      <w:r>
        <w:continuationSeparator/>
      </w:r>
    </w:p>
  </w:footnote>
  <w:footnote w:id="1">
    <w:p w14:paraId="2FC75774" w14:textId="361966D1" w:rsidR="001F1D95" w:rsidRPr="001F1D95" w:rsidRDefault="001F1D95" w:rsidP="001F1D95">
      <w:pPr>
        <w:rPr>
          <w:sz w:val="22"/>
        </w:rPr>
      </w:pPr>
      <w:r w:rsidRPr="001F1D95">
        <w:rPr>
          <w:rStyle w:val="FootnoteReference"/>
          <w:sz w:val="22"/>
        </w:rPr>
        <w:footnoteRef/>
      </w:r>
      <w:r w:rsidRPr="001F1D95">
        <w:rPr>
          <w:sz w:val="22"/>
        </w:rPr>
        <w:t xml:space="preserve"> Education space is the generic term used to describe space used for teaching, learning, and examinations.</w:t>
      </w:r>
    </w:p>
  </w:footnote>
  <w:footnote w:id="2">
    <w:p w14:paraId="51859EEF" w14:textId="3C09C0BD" w:rsidR="00023357" w:rsidRPr="003B1AFB" w:rsidRDefault="00023357">
      <w:pPr>
        <w:pStyle w:val="FootnoteText"/>
        <w:rPr>
          <w:sz w:val="22"/>
          <w:szCs w:val="22"/>
        </w:rPr>
      </w:pPr>
      <w:r w:rsidRPr="003B1AFB">
        <w:rPr>
          <w:rStyle w:val="FootnoteReference"/>
          <w:sz w:val="22"/>
          <w:szCs w:val="22"/>
        </w:rPr>
        <w:footnoteRef/>
      </w:r>
      <w:r w:rsidRPr="003B1AFB">
        <w:rPr>
          <w:sz w:val="22"/>
          <w:szCs w:val="22"/>
        </w:rPr>
        <w:t xml:space="preserve"> Strategic Framework for the Development of the Estate 2016, </w:t>
      </w:r>
      <w:hyperlink r:id="rId1" w:history="1">
        <w:r w:rsidRPr="003B1AFB">
          <w:rPr>
            <w:rStyle w:val="Hyperlink"/>
            <w:sz w:val="22"/>
            <w:szCs w:val="22"/>
          </w:rPr>
          <w:t>www.em.admin.cam.ac.uk/</w:t>
        </w:r>
      </w:hyperlink>
      <w:r w:rsidRPr="003B1AFB">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E258A" w14:textId="3C32FE61" w:rsidR="00023357" w:rsidRPr="00EB60AE" w:rsidRDefault="00023357" w:rsidP="00EB60AE">
    <w:pPr>
      <w:pStyle w:val="Header"/>
      <w:jc w:val="right"/>
      <w:rPr>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7C2C" w14:textId="0963AC19" w:rsidR="00023357" w:rsidRDefault="00023357" w:rsidP="00963228">
    <w:pPr>
      <w:pStyle w:val="Header"/>
      <w:rPr>
        <w:b/>
        <w:szCs w:val="24"/>
      </w:rPr>
    </w:pPr>
    <w:r>
      <w:rPr>
        <w:b/>
        <w:noProof/>
        <w:szCs w:val="24"/>
        <w:lang w:eastAsia="en-GB"/>
      </w:rPr>
      <w:drawing>
        <wp:inline distT="0" distB="0" distL="0" distR="0" wp14:anchorId="214EDCBD" wp14:editId="2C51A3FB">
          <wp:extent cx="2334895" cy="5060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506095"/>
                  </a:xfrm>
                  <a:prstGeom prst="rect">
                    <a:avLst/>
                  </a:prstGeom>
                  <a:noFill/>
                </pic:spPr>
              </pic:pic>
            </a:graphicData>
          </a:graphic>
        </wp:inline>
      </w:drawing>
    </w:r>
    <w:r>
      <w:rPr>
        <w:b/>
        <w:szCs w:val="24"/>
      </w:rPr>
      <w:tab/>
    </w:r>
    <w:r>
      <w:rPr>
        <w:b/>
        <w:szCs w:val="24"/>
      </w:rPr>
      <w:tab/>
    </w:r>
    <w:r>
      <w:rPr>
        <w:b/>
        <w:szCs w:val="24"/>
      </w:rPr>
      <w:tab/>
    </w:r>
    <w:r>
      <w:rPr>
        <w:b/>
        <w:szCs w:val="24"/>
      </w:rPr>
      <w:tab/>
    </w:r>
    <w:r>
      <w:rPr>
        <w:b/>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7C3"/>
    <w:multiLevelType w:val="hybridMultilevel"/>
    <w:tmpl w:val="574C5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42E0E"/>
    <w:multiLevelType w:val="hybridMultilevel"/>
    <w:tmpl w:val="F8AA1AE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D723C"/>
    <w:multiLevelType w:val="hybridMultilevel"/>
    <w:tmpl w:val="7BB6571C"/>
    <w:lvl w:ilvl="0" w:tplc="58D41D0C">
      <w:start w:val="1"/>
      <w:numFmt w:val="bullet"/>
      <w:lvlText w:val="•"/>
      <w:lvlJc w:val="left"/>
      <w:pPr>
        <w:tabs>
          <w:tab w:val="num" w:pos="720"/>
        </w:tabs>
        <w:ind w:left="720" w:hanging="360"/>
      </w:pPr>
      <w:rPr>
        <w:rFonts w:ascii="Times New Roman" w:hAnsi="Times New Roman" w:hint="default"/>
      </w:rPr>
    </w:lvl>
    <w:lvl w:ilvl="1" w:tplc="ABAC52EC" w:tentative="1">
      <w:start w:val="1"/>
      <w:numFmt w:val="bullet"/>
      <w:lvlText w:val="•"/>
      <w:lvlJc w:val="left"/>
      <w:pPr>
        <w:tabs>
          <w:tab w:val="num" w:pos="1440"/>
        </w:tabs>
        <w:ind w:left="1440" w:hanging="360"/>
      </w:pPr>
      <w:rPr>
        <w:rFonts w:ascii="Times New Roman" w:hAnsi="Times New Roman" w:hint="default"/>
      </w:rPr>
    </w:lvl>
    <w:lvl w:ilvl="2" w:tplc="A7D04432" w:tentative="1">
      <w:start w:val="1"/>
      <w:numFmt w:val="bullet"/>
      <w:lvlText w:val="•"/>
      <w:lvlJc w:val="left"/>
      <w:pPr>
        <w:tabs>
          <w:tab w:val="num" w:pos="2160"/>
        </w:tabs>
        <w:ind w:left="2160" w:hanging="360"/>
      </w:pPr>
      <w:rPr>
        <w:rFonts w:ascii="Times New Roman" w:hAnsi="Times New Roman" w:hint="default"/>
      </w:rPr>
    </w:lvl>
    <w:lvl w:ilvl="3" w:tplc="919C94F0" w:tentative="1">
      <w:start w:val="1"/>
      <w:numFmt w:val="bullet"/>
      <w:lvlText w:val="•"/>
      <w:lvlJc w:val="left"/>
      <w:pPr>
        <w:tabs>
          <w:tab w:val="num" w:pos="2880"/>
        </w:tabs>
        <w:ind w:left="2880" w:hanging="360"/>
      </w:pPr>
      <w:rPr>
        <w:rFonts w:ascii="Times New Roman" w:hAnsi="Times New Roman" w:hint="default"/>
      </w:rPr>
    </w:lvl>
    <w:lvl w:ilvl="4" w:tplc="4CF24A9C" w:tentative="1">
      <w:start w:val="1"/>
      <w:numFmt w:val="bullet"/>
      <w:lvlText w:val="•"/>
      <w:lvlJc w:val="left"/>
      <w:pPr>
        <w:tabs>
          <w:tab w:val="num" w:pos="3600"/>
        </w:tabs>
        <w:ind w:left="3600" w:hanging="360"/>
      </w:pPr>
      <w:rPr>
        <w:rFonts w:ascii="Times New Roman" w:hAnsi="Times New Roman" w:hint="default"/>
      </w:rPr>
    </w:lvl>
    <w:lvl w:ilvl="5" w:tplc="D31C7CFC" w:tentative="1">
      <w:start w:val="1"/>
      <w:numFmt w:val="bullet"/>
      <w:lvlText w:val="•"/>
      <w:lvlJc w:val="left"/>
      <w:pPr>
        <w:tabs>
          <w:tab w:val="num" w:pos="4320"/>
        </w:tabs>
        <w:ind w:left="4320" w:hanging="360"/>
      </w:pPr>
      <w:rPr>
        <w:rFonts w:ascii="Times New Roman" w:hAnsi="Times New Roman" w:hint="default"/>
      </w:rPr>
    </w:lvl>
    <w:lvl w:ilvl="6" w:tplc="6C22E310" w:tentative="1">
      <w:start w:val="1"/>
      <w:numFmt w:val="bullet"/>
      <w:lvlText w:val="•"/>
      <w:lvlJc w:val="left"/>
      <w:pPr>
        <w:tabs>
          <w:tab w:val="num" w:pos="5040"/>
        </w:tabs>
        <w:ind w:left="5040" w:hanging="360"/>
      </w:pPr>
      <w:rPr>
        <w:rFonts w:ascii="Times New Roman" w:hAnsi="Times New Roman" w:hint="default"/>
      </w:rPr>
    </w:lvl>
    <w:lvl w:ilvl="7" w:tplc="90907DF2" w:tentative="1">
      <w:start w:val="1"/>
      <w:numFmt w:val="bullet"/>
      <w:lvlText w:val="•"/>
      <w:lvlJc w:val="left"/>
      <w:pPr>
        <w:tabs>
          <w:tab w:val="num" w:pos="5760"/>
        </w:tabs>
        <w:ind w:left="5760" w:hanging="360"/>
      </w:pPr>
      <w:rPr>
        <w:rFonts w:ascii="Times New Roman" w:hAnsi="Times New Roman" w:hint="default"/>
      </w:rPr>
    </w:lvl>
    <w:lvl w:ilvl="8" w:tplc="0E72AAD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FB7B77"/>
    <w:multiLevelType w:val="hybridMultilevel"/>
    <w:tmpl w:val="A8A2B9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C2915"/>
    <w:multiLevelType w:val="hybridMultilevel"/>
    <w:tmpl w:val="6FE4D9B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DB30A6E"/>
    <w:multiLevelType w:val="hybridMultilevel"/>
    <w:tmpl w:val="4AA02B58"/>
    <w:lvl w:ilvl="0" w:tplc="0809000F">
      <w:start w:val="1"/>
      <w:numFmt w:val="decimal"/>
      <w:lvlText w:val="%1."/>
      <w:lvlJc w:val="left"/>
      <w:pPr>
        <w:ind w:left="360" w:hanging="360"/>
      </w:pPr>
      <w:rPr>
        <w:rFont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FC0391"/>
    <w:multiLevelType w:val="hybridMultilevel"/>
    <w:tmpl w:val="FBA6AC5C"/>
    <w:lvl w:ilvl="0" w:tplc="E4425E80">
      <w:start w:val="1"/>
      <w:numFmt w:val="bullet"/>
      <w:lvlText w:val="•"/>
      <w:lvlJc w:val="left"/>
      <w:pPr>
        <w:tabs>
          <w:tab w:val="num" w:pos="720"/>
        </w:tabs>
        <w:ind w:left="720" w:hanging="360"/>
      </w:pPr>
      <w:rPr>
        <w:rFonts w:ascii="Times New Roman" w:hAnsi="Times New Roman" w:hint="default"/>
      </w:rPr>
    </w:lvl>
    <w:lvl w:ilvl="1" w:tplc="CEECC070" w:tentative="1">
      <w:start w:val="1"/>
      <w:numFmt w:val="bullet"/>
      <w:lvlText w:val="•"/>
      <w:lvlJc w:val="left"/>
      <w:pPr>
        <w:tabs>
          <w:tab w:val="num" w:pos="1440"/>
        </w:tabs>
        <w:ind w:left="1440" w:hanging="360"/>
      </w:pPr>
      <w:rPr>
        <w:rFonts w:ascii="Times New Roman" w:hAnsi="Times New Roman" w:hint="default"/>
      </w:rPr>
    </w:lvl>
    <w:lvl w:ilvl="2" w:tplc="FEE4FE34" w:tentative="1">
      <w:start w:val="1"/>
      <w:numFmt w:val="bullet"/>
      <w:lvlText w:val="•"/>
      <w:lvlJc w:val="left"/>
      <w:pPr>
        <w:tabs>
          <w:tab w:val="num" w:pos="2160"/>
        </w:tabs>
        <w:ind w:left="2160" w:hanging="360"/>
      </w:pPr>
      <w:rPr>
        <w:rFonts w:ascii="Times New Roman" w:hAnsi="Times New Roman" w:hint="default"/>
      </w:rPr>
    </w:lvl>
    <w:lvl w:ilvl="3" w:tplc="C25835F0" w:tentative="1">
      <w:start w:val="1"/>
      <w:numFmt w:val="bullet"/>
      <w:lvlText w:val="•"/>
      <w:lvlJc w:val="left"/>
      <w:pPr>
        <w:tabs>
          <w:tab w:val="num" w:pos="2880"/>
        </w:tabs>
        <w:ind w:left="2880" w:hanging="360"/>
      </w:pPr>
      <w:rPr>
        <w:rFonts w:ascii="Times New Roman" w:hAnsi="Times New Roman" w:hint="default"/>
      </w:rPr>
    </w:lvl>
    <w:lvl w:ilvl="4" w:tplc="9026A61C" w:tentative="1">
      <w:start w:val="1"/>
      <w:numFmt w:val="bullet"/>
      <w:lvlText w:val="•"/>
      <w:lvlJc w:val="left"/>
      <w:pPr>
        <w:tabs>
          <w:tab w:val="num" w:pos="3600"/>
        </w:tabs>
        <w:ind w:left="3600" w:hanging="360"/>
      </w:pPr>
      <w:rPr>
        <w:rFonts w:ascii="Times New Roman" w:hAnsi="Times New Roman" w:hint="default"/>
      </w:rPr>
    </w:lvl>
    <w:lvl w:ilvl="5" w:tplc="19A0577A" w:tentative="1">
      <w:start w:val="1"/>
      <w:numFmt w:val="bullet"/>
      <w:lvlText w:val="•"/>
      <w:lvlJc w:val="left"/>
      <w:pPr>
        <w:tabs>
          <w:tab w:val="num" w:pos="4320"/>
        </w:tabs>
        <w:ind w:left="4320" w:hanging="360"/>
      </w:pPr>
      <w:rPr>
        <w:rFonts w:ascii="Times New Roman" w:hAnsi="Times New Roman" w:hint="default"/>
      </w:rPr>
    </w:lvl>
    <w:lvl w:ilvl="6" w:tplc="6D68C87E" w:tentative="1">
      <w:start w:val="1"/>
      <w:numFmt w:val="bullet"/>
      <w:lvlText w:val="•"/>
      <w:lvlJc w:val="left"/>
      <w:pPr>
        <w:tabs>
          <w:tab w:val="num" w:pos="5040"/>
        </w:tabs>
        <w:ind w:left="5040" w:hanging="360"/>
      </w:pPr>
      <w:rPr>
        <w:rFonts w:ascii="Times New Roman" w:hAnsi="Times New Roman" w:hint="default"/>
      </w:rPr>
    </w:lvl>
    <w:lvl w:ilvl="7" w:tplc="103AE658" w:tentative="1">
      <w:start w:val="1"/>
      <w:numFmt w:val="bullet"/>
      <w:lvlText w:val="•"/>
      <w:lvlJc w:val="left"/>
      <w:pPr>
        <w:tabs>
          <w:tab w:val="num" w:pos="5760"/>
        </w:tabs>
        <w:ind w:left="5760" w:hanging="360"/>
      </w:pPr>
      <w:rPr>
        <w:rFonts w:ascii="Times New Roman" w:hAnsi="Times New Roman" w:hint="default"/>
      </w:rPr>
    </w:lvl>
    <w:lvl w:ilvl="8" w:tplc="6C1C0C0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2C18AA"/>
    <w:multiLevelType w:val="hybridMultilevel"/>
    <w:tmpl w:val="2F9005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FD144B2"/>
    <w:multiLevelType w:val="hybridMultilevel"/>
    <w:tmpl w:val="7624D1BC"/>
    <w:lvl w:ilvl="0" w:tplc="BF0A745E">
      <w:start w:val="1"/>
      <w:numFmt w:val="decimal"/>
      <w:pStyle w:val="NumerPara"/>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34432B6"/>
    <w:multiLevelType w:val="hybridMultilevel"/>
    <w:tmpl w:val="6CDCB680"/>
    <w:lvl w:ilvl="0" w:tplc="BF0A745E">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34F4E27"/>
    <w:multiLevelType w:val="hybridMultilevel"/>
    <w:tmpl w:val="927888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961404"/>
    <w:multiLevelType w:val="multilevel"/>
    <w:tmpl w:val="28B03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F64FF"/>
    <w:multiLevelType w:val="multilevel"/>
    <w:tmpl w:val="D1F42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1701A4"/>
    <w:multiLevelType w:val="hybridMultilevel"/>
    <w:tmpl w:val="3558F8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D29025B"/>
    <w:multiLevelType w:val="hybridMultilevel"/>
    <w:tmpl w:val="927888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9A047C"/>
    <w:multiLevelType w:val="hybridMultilevel"/>
    <w:tmpl w:val="63843B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017D72"/>
    <w:multiLevelType w:val="hybridMultilevel"/>
    <w:tmpl w:val="A460A9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6916F18"/>
    <w:multiLevelType w:val="multilevel"/>
    <w:tmpl w:val="8A6E1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9F5DDB"/>
    <w:multiLevelType w:val="multilevel"/>
    <w:tmpl w:val="BF5CD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217A2C"/>
    <w:multiLevelType w:val="hybridMultilevel"/>
    <w:tmpl w:val="81F4D6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EA11ED"/>
    <w:multiLevelType w:val="hybridMultilevel"/>
    <w:tmpl w:val="DCA09FF4"/>
    <w:lvl w:ilvl="0" w:tplc="A0380290">
      <w:start w:val="1"/>
      <w:numFmt w:val="bullet"/>
      <w:pStyle w:val="ListParagraph"/>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A61192"/>
    <w:multiLevelType w:val="hybridMultilevel"/>
    <w:tmpl w:val="850C9B1E"/>
    <w:lvl w:ilvl="0" w:tplc="08090017">
      <w:start w:val="1"/>
      <w:numFmt w:val="lowerLetter"/>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1E2153"/>
    <w:multiLevelType w:val="hybridMultilevel"/>
    <w:tmpl w:val="25687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3E96185"/>
    <w:multiLevelType w:val="hybridMultilevel"/>
    <w:tmpl w:val="CDA60D7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59F7028"/>
    <w:multiLevelType w:val="hybridMultilevel"/>
    <w:tmpl w:val="0CFEE9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007A8F"/>
    <w:multiLevelType w:val="hybridMultilevel"/>
    <w:tmpl w:val="198C5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BF189D"/>
    <w:multiLevelType w:val="hybridMultilevel"/>
    <w:tmpl w:val="E732177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9A020DC"/>
    <w:multiLevelType w:val="hybridMultilevel"/>
    <w:tmpl w:val="8C82C01A"/>
    <w:lvl w:ilvl="0" w:tplc="38326542">
      <w:start w:val="1"/>
      <w:numFmt w:val="bullet"/>
      <w:lvlText w:val="•"/>
      <w:lvlJc w:val="left"/>
      <w:pPr>
        <w:tabs>
          <w:tab w:val="num" w:pos="720"/>
        </w:tabs>
        <w:ind w:left="720" w:hanging="360"/>
      </w:pPr>
      <w:rPr>
        <w:rFonts w:ascii="Times New Roman" w:hAnsi="Times New Roman" w:hint="default"/>
      </w:rPr>
    </w:lvl>
    <w:lvl w:ilvl="1" w:tplc="1A48A39E" w:tentative="1">
      <w:start w:val="1"/>
      <w:numFmt w:val="bullet"/>
      <w:lvlText w:val="•"/>
      <w:lvlJc w:val="left"/>
      <w:pPr>
        <w:tabs>
          <w:tab w:val="num" w:pos="1440"/>
        </w:tabs>
        <w:ind w:left="1440" w:hanging="360"/>
      </w:pPr>
      <w:rPr>
        <w:rFonts w:ascii="Times New Roman" w:hAnsi="Times New Roman" w:hint="default"/>
      </w:rPr>
    </w:lvl>
    <w:lvl w:ilvl="2" w:tplc="6FCC799E" w:tentative="1">
      <w:start w:val="1"/>
      <w:numFmt w:val="bullet"/>
      <w:lvlText w:val="•"/>
      <w:lvlJc w:val="left"/>
      <w:pPr>
        <w:tabs>
          <w:tab w:val="num" w:pos="2160"/>
        </w:tabs>
        <w:ind w:left="2160" w:hanging="360"/>
      </w:pPr>
      <w:rPr>
        <w:rFonts w:ascii="Times New Roman" w:hAnsi="Times New Roman" w:hint="default"/>
      </w:rPr>
    </w:lvl>
    <w:lvl w:ilvl="3" w:tplc="04663248" w:tentative="1">
      <w:start w:val="1"/>
      <w:numFmt w:val="bullet"/>
      <w:lvlText w:val="•"/>
      <w:lvlJc w:val="left"/>
      <w:pPr>
        <w:tabs>
          <w:tab w:val="num" w:pos="2880"/>
        </w:tabs>
        <w:ind w:left="2880" w:hanging="360"/>
      </w:pPr>
      <w:rPr>
        <w:rFonts w:ascii="Times New Roman" w:hAnsi="Times New Roman" w:hint="default"/>
      </w:rPr>
    </w:lvl>
    <w:lvl w:ilvl="4" w:tplc="7CBC9BAE" w:tentative="1">
      <w:start w:val="1"/>
      <w:numFmt w:val="bullet"/>
      <w:lvlText w:val="•"/>
      <w:lvlJc w:val="left"/>
      <w:pPr>
        <w:tabs>
          <w:tab w:val="num" w:pos="3600"/>
        </w:tabs>
        <w:ind w:left="3600" w:hanging="360"/>
      </w:pPr>
      <w:rPr>
        <w:rFonts w:ascii="Times New Roman" w:hAnsi="Times New Roman" w:hint="default"/>
      </w:rPr>
    </w:lvl>
    <w:lvl w:ilvl="5" w:tplc="FFFC1C22" w:tentative="1">
      <w:start w:val="1"/>
      <w:numFmt w:val="bullet"/>
      <w:lvlText w:val="•"/>
      <w:lvlJc w:val="left"/>
      <w:pPr>
        <w:tabs>
          <w:tab w:val="num" w:pos="4320"/>
        </w:tabs>
        <w:ind w:left="4320" w:hanging="360"/>
      </w:pPr>
      <w:rPr>
        <w:rFonts w:ascii="Times New Roman" w:hAnsi="Times New Roman" w:hint="default"/>
      </w:rPr>
    </w:lvl>
    <w:lvl w:ilvl="6" w:tplc="AD40DA6C" w:tentative="1">
      <w:start w:val="1"/>
      <w:numFmt w:val="bullet"/>
      <w:lvlText w:val="•"/>
      <w:lvlJc w:val="left"/>
      <w:pPr>
        <w:tabs>
          <w:tab w:val="num" w:pos="5040"/>
        </w:tabs>
        <w:ind w:left="5040" w:hanging="360"/>
      </w:pPr>
      <w:rPr>
        <w:rFonts w:ascii="Times New Roman" w:hAnsi="Times New Roman" w:hint="default"/>
      </w:rPr>
    </w:lvl>
    <w:lvl w:ilvl="7" w:tplc="0BF0479A" w:tentative="1">
      <w:start w:val="1"/>
      <w:numFmt w:val="bullet"/>
      <w:lvlText w:val="•"/>
      <w:lvlJc w:val="left"/>
      <w:pPr>
        <w:tabs>
          <w:tab w:val="num" w:pos="5760"/>
        </w:tabs>
        <w:ind w:left="5760" w:hanging="360"/>
      </w:pPr>
      <w:rPr>
        <w:rFonts w:ascii="Times New Roman" w:hAnsi="Times New Roman" w:hint="default"/>
      </w:rPr>
    </w:lvl>
    <w:lvl w:ilvl="8" w:tplc="5002DC3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AE174A"/>
    <w:multiLevelType w:val="hybridMultilevel"/>
    <w:tmpl w:val="7396D75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D1407F8"/>
    <w:multiLevelType w:val="hybridMultilevel"/>
    <w:tmpl w:val="C160F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30A3F61"/>
    <w:multiLevelType w:val="hybridMultilevel"/>
    <w:tmpl w:val="927888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FC6C83"/>
    <w:multiLevelType w:val="multilevel"/>
    <w:tmpl w:val="56B0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C82B33"/>
    <w:multiLevelType w:val="hybridMultilevel"/>
    <w:tmpl w:val="FCEEF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E33483"/>
    <w:multiLevelType w:val="hybridMultilevel"/>
    <w:tmpl w:val="93DE5A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F42F45"/>
    <w:multiLevelType w:val="hybridMultilevel"/>
    <w:tmpl w:val="53ECD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E7F49C1"/>
    <w:multiLevelType w:val="hybridMultilevel"/>
    <w:tmpl w:val="67A0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922427"/>
    <w:multiLevelType w:val="hybridMultilevel"/>
    <w:tmpl w:val="850C9B1E"/>
    <w:lvl w:ilvl="0" w:tplc="08090017">
      <w:start w:val="1"/>
      <w:numFmt w:val="lowerLetter"/>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FC0BF1"/>
    <w:multiLevelType w:val="hybridMultilevel"/>
    <w:tmpl w:val="1C8EF6F4"/>
    <w:lvl w:ilvl="0" w:tplc="0809000F">
      <w:start w:val="1"/>
      <w:numFmt w:val="decimal"/>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8">
    <w:nsid w:val="7A7A79AB"/>
    <w:multiLevelType w:val="hybridMultilevel"/>
    <w:tmpl w:val="B03E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2"/>
  </w:num>
  <w:num w:numId="4">
    <w:abstractNumId w:val="18"/>
  </w:num>
  <w:num w:numId="5">
    <w:abstractNumId w:val="17"/>
  </w:num>
  <w:num w:numId="6">
    <w:abstractNumId w:val="5"/>
  </w:num>
  <w:num w:numId="7">
    <w:abstractNumId w:val="3"/>
  </w:num>
  <w:num w:numId="8">
    <w:abstractNumId w:val="24"/>
  </w:num>
  <w:num w:numId="9">
    <w:abstractNumId w:val="29"/>
  </w:num>
  <w:num w:numId="10">
    <w:abstractNumId w:val="34"/>
  </w:num>
  <w:num w:numId="11">
    <w:abstractNumId w:val="37"/>
  </w:num>
  <w:num w:numId="12">
    <w:abstractNumId w:val="14"/>
  </w:num>
  <w:num w:numId="13">
    <w:abstractNumId w:val="10"/>
  </w:num>
  <w:num w:numId="14">
    <w:abstractNumId w:val="6"/>
  </w:num>
  <w:num w:numId="15">
    <w:abstractNumId w:val="27"/>
  </w:num>
  <w:num w:numId="16">
    <w:abstractNumId w:val="2"/>
  </w:num>
  <w:num w:numId="17">
    <w:abstractNumId w:val="30"/>
  </w:num>
  <w:num w:numId="18">
    <w:abstractNumId w:val="23"/>
  </w:num>
  <w:num w:numId="19">
    <w:abstractNumId w:val="32"/>
  </w:num>
  <w:num w:numId="20">
    <w:abstractNumId w:val="0"/>
  </w:num>
  <w:num w:numId="21">
    <w:abstractNumId w:val="25"/>
  </w:num>
  <w:num w:numId="22">
    <w:abstractNumId w:val="15"/>
  </w:num>
  <w:num w:numId="23">
    <w:abstractNumId w:val="33"/>
  </w:num>
  <w:num w:numId="24">
    <w:abstractNumId w:val="21"/>
  </w:num>
  <w:num w:numId="25">
    <w:abstractNumId w:val="22"/>
  </w:num>
  <w:num w:numId="26">
    <w:abstractNumId w:val="36"/>
  </w:num>
  <w:num w:numId="27">
    <w:abstractNumId w:val="1"/>
  </w:num>
  <w:num w:numId="28">
    <w:abstractNumId w:val="38"/>
  </w:num>
  <w:num w:numId="29">
    <w:abstractNumId w:val="35"/>
  </w:num>
  <w:num w:numId="30">
    <w:abstractNumId w:val="19"/>
  </w:num>
  <w:num w:numId="31">
    <w:abstractNumId w:val="7"/>
  </w:num>
  <w:num w:numId="32">
    <w:abstractNumId w:val="8"/>
  </w:num>
  <w:num w:numId="33">
    <w:abstractNumId w:val="4"/>
  </w:num>
  <w:num w:numId="34">
    <w:abstractNumId w:val="26"/>
  </w:num>
  <w:num w:numId="35">
    <w:abstractNumId w:val="16"/>
  </w:num>
  <w:num w:numId="36">
    <w:abstractNumId w:val="28"/>
  </w:num>
  <w:num w:numId="37">
    <w:abstractNumId w:val="13"/>
  </w:num>
  <w:num w:numId="38">
    <w:abstractNumId w:val="20"/>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08"/>
    <w:rsid w:val="000140C4"/>
    <w:rsid w:val="00023357"/>
    <w:rsid w:val="00027E65"/>
    <w:rsid w:val="00042935"/>
    <w:rsid w:val="00060361"/>
    <w:rsid w:val="00066CF7"/>
    <w:rsid w:val="00070582"/>
    <w:rsid w:val="00072958"/>
    <w:rsid w:val="000731C6"/>
    <w:rsid w:val="00074518"/>
    <w:rsid w:val="000A0C2C"/>
    <w:rsid w:val="000A4183"/>
    <w:rsid w:val="000A6AE2"/>
    <w:rsid w:val="000A7AF8"/>
    <w:rsid w:val="000B098C"/>
    <w:rsid w:val="000F453C"/>
    <w:rsid w:val="0011255B"/>
    <w:rsid w:val="00114C64"/>
    <w:rsid w:val="001165B2"/>
    <w:rsid w:val="00116F76"/>
    <w:rsid w:val="0012537C"/>
    <w:rsid w:val="00134F8D"/>
    <w:rsid w:val="001535AD"/>
    <w:rsid w:val="001947A2"/>
    <w:rsid w:val="001B05E5"/>
    <w:rsid w:val="001B7409"/>
    <w:rsid w:val="001C02AA"/>
    <w:rsid w:val="001D32B8"/>
    <w:rsid w:val="001D360B"/>
    <w:rsid w:val="001D4362"/>
    <w:rsid w:val="001D74AB"/>
    <w:rsid w:val="001F1D95"/>
    <w:rsid w:val="002037EC"/>
    <w:rsid w:val="002128B9"/>
    <w:rsid w:val="002231B5"/>
    <w:rsid w:val="0022793F"/>
    <w:rsid w:val="00232629"/>
    <w:rsid w:val="00237EF0"/>
    <w:rsid w:val="00253B0F"/>
    <w:rsid w:val="00254196"/>
    <w:rsid w:val="00264886"/>
    <w:rsid w:val="0026718C"/>
    <w:rsid w:val="00270044"/>
    <w:rsid w:val="00271D0E"/>
    <w:rsid w:val="002836C5"/>
    <w:rsid w:val="002872F0"/>
    <w:rsid w:val="00297308"/>
    <w:rsid w:val="002C0EDF"/>
    <w:rsid w:val="002C61C1"/>
    <w:rsid w:val="002D2D54"/>
    <w:rsid w:val="002D649A"/>
    <w:rsid w:val="002D7FF0"/>
    <w:rsid w:val="002E00A3"/>
    <w:rsid w:val="002F208A"/>
    <w:rsid w:val="002F5DFC"/>
    <w:rsid w:val="002F7A6B"/>
    <w:rsid w:val="00307811"/>
    <w:rsid w:val="003109FC"/>
    <w:rsid w:val="00312C95"/>
    <w:rsid w:val="00317AFF"/>
    <w:rsid w:val="00333D0D"/>
    <w:rsid w:val="00335BD9"/>
    <w:rsid w:val="0033685B"/>
    <w:rsid w:val="00341FB2"/>
    <w:rsid w:val="00351ADB"/>
    <w:rsid w:val="0035510C"/>
    <w:rsid w:val="0035627C"/>
    <w:rsid w:val="003563DA"/>
    <w:rsid w:val="00356FA6"/>
    <w:rsid w:val="00374755"/>
    <w:rsid w:val="003807DA"/>
    <w:rsid w:val="00391DEF"/>
    <w:rsid w:val="003928AF"/>
    <w:rsid w:val="003952F6"/>
    <w:rsid w:val="003B1AFB"/>
    <w:rsid w:val="003B2417"/>
    <w:rsid w:val="003D7042"/>
    <w:rsid w:val="003E591E"/>
    <w:rsid w:val="003F02D2"/>
    <w:rsid w:val="00414CFA"/>
    <w:rsid w:val="004164F5"/>
    <w:rsid w:val="00423CA0"/>
    <w:rsid w:val="004321D9"/>
    <w:rsid w:val="00436CD7"/>
    <w:rsid w:val="004414BA"/>
    <w:rsid w:val="00441671"/>
    <w:rsid w:val="004445CE"/>
    <w:rsid w:val="00456D4F"/>
    <w:rsid w:val="0046066D"/>
    <w:rsid w:val="004660A4"/>
    <w:rsid w:val="0048001E"/>
    <w:rsid w:val="0048014D"/>
    <w:rsid w:val="0048618C"/>
    <w:rsid w:val="004C21F4"/>
    <w:rsid w:val="004C7C52"/>
    <w:rsid w:val="004D25F8"/>
    <w:rsid w:val="004D7949"/>
    <w:rsid w:val="004E1D69"/>
    <w:rsid w:val="004E54DB"/>
    <w:rsid w:val="004F281A"/>
    <w:rsid w:val="00502683"/>
    <w:rsid w:val="005040BC"/>
    <w:rsid w:val="00511E9E"/>
    <w:rsid w:val="0051319C"/>
    <w:rsid w:val="0051574E"/>
    <w:rsid w:val="00515D2C"/>
    <w:rsid w:val="005201FD"/>
    <w:rsid w:val="005240E3"/>
    <w:rsid w:val="00534ABA"/>
    <w:rsid w:val="0053797F"/>
    <w:rsid w:val="00546411"/>
    <w:rsid w:val="00546E5D"/>
    <w:rsid w:val="005A3685"/>
    <w:rsid w:val="005C7DA9"/>
    <w:rsid w:val="005D55D2"/>
    <w:rsid w:val="005D7712"/>
    <w:rsid w:val="005E2374"/>
    <w:rsid w:val="005E2D79"/>
    <w:rsid w:val="005E64AA"/>
    <w:rsid w:val="005F0FD9"/>
    <w:rsid w:val="005F55AA"/>
    <w:rsid w:val="005F6337"/>
    <w:rsid w:val="0060204C"/>
    <w:rsid w:val="00616780"/>
    <w:rsid w:val="006225D3"/>
    <w:rsid w:val="00632105"/>
    <w:rsid w:val="00647EA9"/>
    <w:rsid w:val="00651784"/>
    <w:rsid w:val="00655278"/>
    <w:rsid w:val="0066709E"/>
    <w:rsid w:val="0067531A"/>
    <w:rsid w:val="006773DE"/>
    <w:rsid w:val="006817FA"/>
    <w:rsid w:val="00696CBA"/>
    <w:rsid w:val="006A3BAF"/>
    <w:rsid w:val="006B3564"/>
    <w:rsid w:val="006B5CC4"/>
    <w:rsid w:val="006C111F"/>
    <w:rsid w:val="006C15D5"/>
    <w:rsid w:val="006C4425"/>
    <w:rsid w:val="006C65D7"/>
    <w:rsid w:val="006D5ADE"/>
    <w:rsid w:val="00703841"/>
    <w:rsid w:val="00703CEB"/>
    <w:rsid w:val="00707A0E"/>
    <w:rsid w:val="00711BBE"/>
    <w:rsid w:val="00717D43"/>
    <w:rsid w:val="00731390"/>
    <w:rsid w:val="007413A0"/>
    <w:rsid w:val="0074147A"/>
    <w:rsid w:val="00750963"/>
    <w:rsid w:val="00753604"/>
    <w:rsid w:val="00765AD5"/>
    <w:rsid w:val="00766004"/>
    <w:rsid w:val="00766361"/>
    <w:rsid w:val="007833A7"/>
    <w:rsid w:val="00786984"/>
    <w:rsid w:val="00792F91"/>
    <w:rsid w:val="007B0C39"/>
    <w:rsid w:val="007B2047"/>
    <w:rsid w:val="007B5AE0"/>
    <w:rsid w:val="007C01CD"/>
    <w:rsid w:val="007C63B2"/>
    <w:rsid w:val="007C67C1"/>
    <w:rsid w:val="007F0A82"/>
    <w:rsid w:val="007F6670"/>
    <w:rsid w:val="00805CF2"/>
    <w:rsid w:val="0081483C"/>
    <w:rsid w:val="008233DF"/>
    <w:rsid w:val="00831760"/>
    <w:rsid w:val="008350ED"/>
    <w:rsid w:val="00855982"/>
    <w:rsid w:val="00857D2E"/>
    <w:rsid w:val="0086358A"/>
    <w:rsid w:val="00863CD1"/>
    <w:rsid w:val="0086529A"/>
    <w:rsid w:val="00866288"/>
    <w:rsid w:val="00887CD0"/>
    <w:rsid w:val="00897446"/>
    <w:rsid w:val="008B11EF"/>
    <w:rsid w:val="008C4467"/>
    <w:rsid w:val="008C62C3"/>
    <w:rsid w:val="008E06C0"/>
    <w:rsid w:val="008E558E"/>
    <w:rsid w:val="008E5D9F"/>
    <w:rsid w:val="008F3004"/>
    <w:rsid w:val="008F7F41"/>
    <w:rsid w:val="00902208"/>
    <w:rsid w:val="00907F68"/>
    <w:rsid w:val="009121D0"/>
    <w:rsid w:val="009158A7"/>
    <w:rsid w:val="00925142"/>
    <w:rsid w:val="00933574"/>
    <w:rsid w:val="00940195"/>
    <w:rsid w:val="00946F92"/>
    <w:rsid w:val="00953428"/>
    <w:rsid w:val="009535CB"/>
    <w:rsid w:val="00963228"/>
    <w:rsid w:val="00966C05"/>
    <w:rsid w:val="00973290"/>
    <w:rsid w:val="00983BC9"/>
    <w:rsid w:val="0098796F"/>
    <w:rsid w:val="00997E49"/>
    <w:rsid w:val="009A0465"/>
    <w:rsid w:val="009A50A2"/>
    <w:rsid w:val="009A6F46"/>
    <w:rsid w:val="009B5983"/>
    <w:rsid w:val="009C6DCA"/>
    <w:rsid w:val="009D4845"/>
    <w:rsid w:val="009E102C"/>
    <w:rsid w:val="009E4D22"/>
    <w:rsid w:val="009F2248"/>
    <w:rsid w:val="00A10484"/>
    <w:rsid w:val="00A476BE"/>
    <w:rsid w:val="00A50148"/>
    <w:rsid w:val="00A5386E"/>
    <w:rsid w:val="00A57048"/>
    <w:rsid w:val="00A745A6"/>
    <w:rsid w:val="00A76F94"/>
    <w:rsid w:val="00A837A1"/>
    <w:rsid w:val="00A97BB5"/>
    <w:rsid w:val="00AA472E"/>
    <w:rsid w:val="00AB10CC"/>
    <w:rsid w:val="00AB1EC7"/>
    <w:rsid w:val="00AB2E3B"/>
    <w:rsid w:val="00AB5DA2"/>
    <w:rsid w:val="00AB7AEC"/>
    <w:rsid w:val="00AC0442"/>
    <w:rsid w:val="00AC63DB"/>
    <w:rsid w:val="00AC6687"/>
    <w:rsid w:val="00AD5A19"/>
    <w:rsid w:val="00AF2163"/>
    <w:rsid w:val="00AF3607"/>
    <w:rsid w:val="00B129F8"/>
    <w:rsid w:val="00B32E94"/>
    <w:rsid w:val="00B42FB3"/>
    <w:rsid w:val="00B46B05"/>
    <w:rsid w:val="00B521B4"/>
    <w:rsid w:val="00B56DF6"/>
    <w:rsid w:val="00B615D9"/>
    <w:rsid w:val="00B63E9C"/>
    <w:rsid w:val="00B73152"/>
    <w:rsid w:val="00B75D9D"/>
    <w:rsid w:val="00B84272"/>
    <w:rsid w:val="00B91E64"/>
    <w:rsid w:val="00B92F20"/>
    <w:rsid w:val="00B93984"/>
    <w:rsid w:val="00B96F20"/>
    <w:rsid w:val="00BB6BAD"/>
    <w:rsid w:val="00BC1012"/>
    <w:rsid w:val="00BC428E"/>
    <w:rsid w:val="00BD64C6"/>
    <w:rsid w:val="00BE4F7E"/>
    <w:rsid w:val="00BE6825"/>
    <w:rsid w:val="00BF06FC"/>
    <w:rsid w:val="00C027FD"/>
    <w:rsid w:val="00C05B6D"/>
    <w:rsid w:val="00C31725"/>
    <w:rsid w:val="00C4000C"/>
    <w:rsid w:val="00C70266"/>
    <w:rsid w:val="00C72681"/>
    <w:rsid w:val="00C75894"/>
    <w:rsid w:val="00C81189"/>
    <w:rsid w:val="00C8167B"/>
    <w:rsid w:val="00CB4844"/>
    <w:rsid w:val="00CD32E7"/>
    <w:rsid w:val="00CD56A9"/>
    <w:rsid w:val="00CE7B36"/>
    <w:rsid w:val="00D019D6"/>
    <w:rsid w:val="00D0629B"/>
    <w:rsid w:val="00D27D01"/>
    <w:rsid w:val="00D51915"/>
    <w:rsid w:val="00D569E3"/>
    <w:rsid w:val="00D672D7"/>
    <w:rsid w:val="00D766D8"/>
    <w:rsid w:val="00D8510E"/>
    <w:rsid w:val="00D9308A"/>
    <w:rsid w:val="00D97BBB"/>
    <w:rsid w:val="00DA695B"/>
    <w:rsid w:val="00DC1A5F"/>
    <w:rsid w:val="00DC5C4A"/>
    <w:rsid w:val="00DD63DD"/>
    <w:rsid w:val="00DF45AA"/>
    <w:rsid w:val="00E0766D"/>
    <w:rsid w:val="00E07BD0"/>
    <w:rsid w:val="00E121C3"/>
    <w:rsid w:val="00E62BA3"/>
    <w:rsid w:val="00E64E22"/>
    <w:rsid w:val="00E80AF1"/>
    <w:rsid w:val="00E81B1B"/>
    <w:rsid w:val="00E836CC"/>
    <w:rsid w:val="00E94CDB"/>
    <w:rsid w:val="00EA7D65"/>
    <w:rsid w:val="00EB60AE"/>
    <w:rsid w:val="00EC03E7"/>
    <w:rsid w:val="00EC356C"/>
    <w:rsid w:val="00EC5344"/>
    <w:rsid w:val="00EE4D25"/>
    <w:rsid w:val="00EF3FAF"/>
    <w:rsid w:val="00F10EE1"/>
    <w:rsid w:val="00F259C5"/>
    <w:rsid w:val="00F26450"/>
    <w:rsid w:val="00F30179"/>
    <w:rsid w:val="00F42307"/>
    <w:rsid w:val="00F47D43"/>
    <w:rsid w:val="00F64E74"/>
    <w:rsid w:val="00F704C9"/>
    <w:rsid w:val="00F72B3C"/>
    <w:rsid w:val="00F77191"/>
    <w:rsid w:val="00F87650"/>
    <w:rsid w:val="00FB45BA"/>
    <w:rsid w:val="00FC66F3"/>
    <w:rsid w:val="00FD262C"/>
    <w:rsid w:val="00FE2EAF"/>
    <w:rsid w:val="00FE4408"/>
    <w:rsid w:val="00FE51A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E2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28"/>
    <w:rPr>
      <w:sz w:val="24"/>
      <w:lang w:val="en-GB"/>
    </w:rPr>
  </w:style>
  <w:style w:type="paragraph" w:styleId="Heading1">
    <w:name w:val="heading 1"/>
    <w:basedOn w:val="Normal"/>
    <w:next w:val="Normal"/>
    <w:link w:val="Heading1Char"/>
    <w:uiPriority w:val="9"/>
    <w:qFormat/>
    <w:rsid w:val="003B1AFB"/>
    <w:pPr>
      <w:keepNext/>
      <w:keepLines/>
      <w:pBdr>
        <w:bottom w:val="single" w:sz="4" w:space="1" w:color="595959" w:themeColor="text1" w:themeTint="A6"/>
      </w:pBdr>
      <w:spacing w:before="30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66C05"/>
    <w:pPr>
      <w:spacing w:before="120" w:after="120" w:line="240" w:lineRule="auto"/>
      <w:contextualSpacing/>
    </w:pPr>
    <w:rPr>
      <w:rFonts w:asciiTheme="majorHAnsi" w:eastAsiaTheme="majorEastAsia" w:hAnsiTheme="majorHAnsi" w:cstheme="majorBidi"/>
      <w:b/>
      <w:sz w:val="40"/>
      <w:szCs w:val="56"/>
    </w:rPr>
  </w:style>
  <w:style w:type="character" w:customStyle="1" w:styleId="TitleChar">
    <w:name w:val="Title Char"/>
    <w:basedOn w:val="DefaultParagraphFont"/>
    <w:link w:val="Title"/>
    <w:uiPriority w:val="1"/>
    <w:rsid w:val="00966C05"/>
    <w:rPr>
      <w:rFonts w:asciiTheme="majorHAnsi" w:eastAsiaTheme="majorEastAsia" w:hAnsiTheme="majorHAnsi" w:cstheme="majorBidi"/>
      <w:b/>
      <w:sz w:val="40"/>
      <w:szCs w:val="56"/>
      <w:lang w:val="en-GB"/>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3B1AFB"/>
    <w:rPr>
      <w:rFonts w:asciiTheme="majorHAnsi" w:eastAsiaTheme="majorEastAsia" w:hAnsiTheme="majorHAnsi" w:cstheme="majorBidi"/>
      <w:b/>
      <w:bCs/>
      <w:smallCaps/>
      <w:sz w:val="36"/>
      <w:szCs w:val="36"/>
      <w:lang w:val="en-GB"/>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table" w:styleId="TableGrid">
    <w:name w:val="Table Grid"/>
    <w:basedOn w:val="TableNormal"/>
    <w:uiPriority w:val="39"/>
    <w:rsid w:val="001B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unhideWhenUsed/>
    <w:qFormat/>
    <w:rsid w:val="006C65D7"/>
    <w:pPr>
      <w:numPr>
        <w:numId w:val="38"/>
      </w:numPr>
      <w:spacing w:before="80" w:after="80"/>
      <w:ind w:left="641" w:hanging="357"/>
      <w:contextualSpacing/>
    </w:pPr>
  </w:style>
  <w:style w:type="paragraph" w:styleId="TOC1">
    <w:name w:val="toc 1"/>
    <w:basedOn w:val="Normal"/>
    <w:next w:val="Normal"/>
    <w:autoRedefine/>
    <w:uiPriority w:val="39"/>
    <w:unhideWhenUsed/>
    <w:rsid w:val="002D7FF0"/>
    <w:pPr>
      <w:spacing w:after="100"/>
    </w:pPr>
  </w:style>
  <w:style w:type="paragraph" w:styleId="TOC2">
    <w:name w:val="toc 2"/>
    <w:basedOn w:val="Normal"/>
    <w:next w:val="Normal"/>
    <w:autoRedefine/>
    <w:uiPriority w:val="39"/>
    <w:unhideWhenUsed/>
    <w:rsid w:val="0046066D"/>
    <w:pPr>
      <w:spacing w:after="100"/>
      <w:ind w:left="240"/>
    </w:pPr>
  </w:style>
  <w:style w:type="character" w:styleId="FootnoteReference">
    <w:name w:val="footnote reference"/>
    <w:basedOn w:val="DefaultParagraphFont"/>
    <w:uiPriority w:val="99"/>
    <w:semiHidden/>
    <w:unhideWhenUsed/>
    <w:rsid w:val="005240E3"/>
    <w:rPr>
      <w:vertAlign w:val="superscript"/>
    </w:rPr>
  </w:style>
  <w:style w:type="paragraph" w:customStyle="1" w:styleId="NumerPara">
    <w:name w:val="NumerPara"/>
    <w:basedOn w:val="ListParagraph"/>
    <w:link w:val="NumerParaChar"/>
    <w:qFormat/>
    <w:rsid w:val="006C65D7"/>
    <w:pPr>
      <w:numPr>
        <w:numId w:val="32"/>
      </w:numPr>
    </w:pPr>
  </w:style>
  <w:style w:type="character" w:customStyle="1" w:styleId="ListParagraphChar">
    <w:name w:val="List Paragraph Char"/>
    <w:basedOn w:val="DefaultParagraphFont"/>
    <w:link w:val="ListParagraph"/>
    <w:uiPriority w:val="34"/>
    <w:rsid w:val="006C65D7"/>
    <w:rPr>
      <w:sz w:val="24"/>
      <w:lang w:val="en-GB"/>
    </w:rPr>
  </w:style>
  <w:style w:type="character" w:customStyle="1" w:styleId="NumerParaChar">
    <w:name w:val="NumerPara Char"/>
    <w:basedOn w:val="ListParagraphChar"/>
    <w:link w:val="NumerPara"/>
    <w:rsid w:val="006C65D7"/>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28"/>
    <w:rPr>
      <w:sz w:val="24"/>
      <w:lang w:val="en-GB"/>
    </w:rPr>
  </w:style>
  <w:style w:type="paragraph" w:styleId="Heading1">
    <w:name w:val="heading 1"/>
    <w:basedOn w:val="Normal"/>
    <w:next w:val="Normal"/>
    <w:link w:val="Heading1Char"/>
    <w:uiPriority w:val="9"/>
    <w:qFormat/>
    <w:rsid w:val="003B1AFB"/>
    <w:pPr>
      <w:keepNext/>
      <w:keepLines/>
      <w:pBdr>
        <w:bottom w:val="single" w:sz="4" w:space="1" w:color="595959" w:themeColor="text1" w:themeTint="A6"/>
      </w:pBdr>
      <w:spacing w:before="30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66C05"/>
    <w:pPr>
      <w:spacing w:before="120" w:after="120" w:line="240" w:lineRule="auto"/>
      <w:contextualSpacing/>
    </w:pPr>
    <w:rPr>
      <w:rFonts w:asciiTheme="majorHAnsi" w:eastAsiaTheme="majorEastAsia" w:hAnsiTheme="majorHAnsi" w:cstheme="majorBidi"/>
      <w:b/>
      <w:sz w:val="40"/>
      <w:szCs w:val="56"/>
    </w:rPr>
  </w:style>
  <w:style w:type="character" w:customStyle="1" w:styleId="TitleChar">
    <w:name w:val="Title Char"/>
    <w:basedOn w:val="DefaultParagraphFont"/>
    <w:link w:val="Title"/>
    <w:uiPriority w:val="1"/>
    <w:rsid w:val="00966C05"/>
    <w:rPr>
      <w:rFonts w:asciiTheme="majorHAnsi" w:eastAsiaTheme="majorEastAsia" w:hAnsiTheme="majorHAnsi" w:cstheme="majorBidi"/>
      <w:b/>
      <w:sz w:val="40"/>
      <w:szCs w:val="56"/>
      <w:lang w:val="en-GB"/>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3B1AFB"/>
    <w:rPr>
      <w:rFonts w:asciiTheme="majorHAnsi" w:eastAsiaTheme="majorEastAsia" w:hAnsiTheme="majorHAnsi" w:cstheme="majorBidi"/>
      <w:b/>
      <w:bCs/>
      <w:smallCaps/>
      <w:sz w:val="36"/>
      <w:szCs w:val="36"/>
      <w:lang w:val="en-GB"/>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table" w:styleId="TableGrid">
    <w:name w:val="Table Grid"/>
    <w:basedOn w:val="TableNormal"/>
    <w:uiPriority w:val="39"/>
    <w:rsid w:val="001B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unhideWhenUsed/>
    <w:qFormat/>
    <w:rsid w:val="006C65D7"/>
    <w:pPr>
      <w:numPr>
        <w:numId w:val="38"/>
      </w:numPr>
      <w:spacing w:before="80" w:after="80"/>
      <w:ind w:left="641" w:hanging="357"/>
      <w:contextualSpacing/>
    </w:pPr>
  </w:style>
  <w:style w:type="paragraph" w:styleId="TOC1">
    <w:name w:val="toc 1"/>
    <w:basedOn w:val="Normal"/>
    <w:next w:val="Normal"/>
    <w:autoRedefine/>
    <w:uiPriority w:val="39"/>
    <w:unhideWhenUsed/>
    <w:rsid w:val="002D7FF0"/>
    <w:pPr>
      <w:spacing w:after="100"/>
    </w:pPr>
  </w:style>
  <w:style w:type="paragraph" w:styleId="TOC2">
    <w:name w:val="toc 2"/>
    <w:basedOn w:val="Normal"/>
    <w:next w:val="Normal"/>
    <w:autoRedefine/>
    <w:uiPriority w:val="39"/>
    <w:unhideWhenUsed/>
    <w:rsid w:val="0046066D"/>
    <w:pPr>
      <w:spacing w:after="100"/>
      <w:ind w:left="240"/>
    </w:pPr>
  </w:style>
  <w:style w:type="character" w:styleId="FootnoteReference">
    <w:name w:val="footnote reference"/>
    <w:basedOn w:val="DefaultParagraphFont"/>
    <w:uiPriority w:val="99"/>
    <w:semiHidden/>
    <w:unhideWhenUsed/>
    <w:rsid w:val="005240E3"/>
    <w:rPr>
      <w:vertAlign w:val="superscript"/>
    </w:rPr>
  </w:style>
  <w:style w:type="paragraph" w:customStyle="1" w:styleId="NumerPara">
    <w:name w:val="NumerPara"/>
    <w:basedOn w:val="ListParagraph"/>
    <w:link w:val="NumerParaChar"/>
    <w:qFormat/>
    <w:rsid w:val="006C65D7"/>
    <w:pPr>
      <w:numPr>
        <w:numId w:val="32"/>
      </w:numPr>
    </w:pPr>
  </w:style>
  <w:style w:type="character" w:customStyle="1" w:styleId="ListParagraphChar">
    <w:name w:val="List Paragraph Char"/>
    <w:basedOn w:val="DefaultParagraphFont"/>
    <w:link w:val="ListParagraph"/>
    <w:uiPriority w:val="34"/>
    <w:rsid w:val="006C65D7"/>
    <w:rPr>
      <w:sz w:val="24"/>
      <w:lang w:val="en-GB"/>
    </w:rPr>
  </w:style>
  <w:style w:type="character" w:customStyle="1" w:styleId="NumerParaChar">
    <w:name w:val="NumerPara Char"/>
    <w:basedOn w:val="ListParagraphChar"/>
    <w:link w:val="NumerPara"/>
    <w:rsid w:val="006C65D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1784">
      <w:bodyDiv w:val="1"/>
      <w:marLeft w:val="0"/>
      <w:marRight w:val="0"/>
      <w:marTop w:val="0"/>
      <w:marBottom w:val="0"/>
      <w:divBdr>
        <w:top w:val="none" w:sz="0" w:space="0" w:color="auto"/>
        <w:left w:val="none" w:sz="0" w:space="0" w:color="auto"/>
        <w:bottom w:val="none" w:sz="0" w:space="0" w:color="auto"/>
        <w:right w:val="none" w:sz="0" w:space="0" w:color="auto"/>
      </w:divBdr>
      <w:divsChild>
        <w:div w:id="802965983">
          <w:marLeft w:val="547"/>
          <w:marRight w:val="0"/>
          <w:marTop w:val="0"/>
          <w:marBottom w:val="0"/>
          <w:divBdr>
            <w:top w:val="none" w:sz="0" w:space="0" w:color="auto"/>
            <w:left w:val="none" w:sz="0" w:space="0" w:color="auto"/>
            <w:bottom w:val="none" w:sz="0" w:space="0" w:color="auto"/>
            <w:right w:val="none" w:sz="0" w:space="0" w:color="auto"/>
          </w:divBdr>
        </w:div>
      </w:divsChild>
    </w:div>
    <w:div w:id="622226102">
      <w:bodyDiv w:val="1"/>
      <w:marLeft w:val="0"/>
      <w:marRight w:val="0"/>
      <w:marTop w:val="0"/>
      <w:marBottom w:val="0"/>
      <w:divBdr>
        <w:top w:val="none" w:sz="0" w:space="0" w:color="auto"/>
        <w:left w:val="none" w:sz="0" w:space="0" w:color="auto"/>
        <w:bottom w:val="none" w:sz="0" w:space="0" w:color="auto"/>
        <w:right w:val="none" w:sz="0" w:space="0" w:color="auto"/>
      </w:divBdr>
      <w:divsChild>
        <w:div w:id="1129200872">
          <w:marLeft w:val="547"/>
          <w:marRight w:val="0"/>
          <w:marTop w:val="0"/>
          <w:marBottom w:val="0"/>
          <w:divBdr>
            <w:top w:val="none" w:sz="0" w:space="0" w:color="auto"/>
            <w:left w:val="none" w:sz="0" w:space="0" w:color="auto"/>
            <w:bottom w:val="none" w:sz="0" w:space="0" w:color="auto"/>
            <w:right w:val="none" w:sz="0" w:space="0" w:color="auto"/>
          </w:divBdr>
        </w:div>
      </w:divsChild>
    </w:div>
    <w:div w:id="879055557">
      <w:bodyDiv w:val="1"/>
      <w:marLeft w:val="0"/>
      <w:marRight w:val="0"/>
      <w:marTop w:val="0"/>
      <w:marBottom w:val="0"/>
      <w:divBdr>
        <w:top w:val="none" w:sz="0" w:space="0" w:color="auto"/>
        <w:left w:val="none" w:sz="0" w:space="0" w:color="auto"/>
        <w:bottom w:val="none" w:sz="0" w:space="0" w:color="auto"/>
        <w:right w:val="none" w:sz="0" w:space="0" w:color="auto"/>
      </w:divBdr>
      <w:divsChild>
        <w:div w:id="476072713">
          <w:marLeft w:val="547"/>
          <w:marRight w:val="0"/>
          <w:marTop w:val="0"/>
          <w:marBottom w:val="0"/>
          <w:divBdr>
            <w:top w:val="none" w:sz="0" w:space="0" w:color="auto"/>
            <w:left w:val="none" w:sz="0" w:space="0" w:color="auto"/>
            <w:bottom w:val="none" w:sz="0" w:space="0" w:color="auto"/>
            <w:right w:val="none" w:sz="0" w:space="0" w:color="auto"/>
          </w:divBdr>
        </w:div>
      </w:divsChild>
    </w:div>
    <w:div w:id="1032926346">
      <w:bodyDiv w:val="1"/>
      <w:marLeft w:val="0"/>
      <w:marRight w:val="0"/>
      <w:marTop w:val="0"/>
      <w:marBottom w:val="0"/>
      <w:divBdr>
        <w:top w:val="none" w:sz="0" w:space="0" w:color="auto"/>
        <w:left w:val="none" w:sz="0" w:space="0" w:color="auto"/>
        <w:bottom w:val="none" w:sz="0" w:space="0" w:color="auto"/>
        <w:right w:val="none" w:sz="0" w:space="0" w:color="auto"/>
      </w:divBdr>
    </w:div>
    <w:div w:id="1189682444">
      <w:bodyDiv w:val="1"/>
      <w:marLeft w:val="0"/>
      <w:marRight w:val="0"/>
      <w:marTop w:val="0"/>
      <w:marBottom w:val="0"/>
      <w:divBdr>
        <w:top w:val="none" w:sz="0" w:space="0" w:color="auto"/>
        <w:left w:val="none" w:sz="0" w:space="0" w:color="auto"/>
        <w:bottom w:val="none" w:sz="0" w:space="0" w:color="auto"/>
        <w:right w:val="none" w:sz="0" w:space="0" w:color="auto"/>
      </w:divBdr>
    </w:div>
    <w:div w:id="1446466556">
      <w:bodyDiv w:val="1"/>
      <w:marLeft w:val="0"/>
      <w:marRight w:val="0"/>
      <w:marTop w:val="0"/>
      <w:marBottom w:val="0"/>
      <w:divBdr>
        <w:top w:val="none" w:sz="0" w:space="0" w:color="auto"/>
        <w:left w:val="none" w:sz="0" w:space="0" w:color="auto"/>
        <w:bottom w:val="none" w:sz="0" w:space="0" w:color="auto"/>
        <w:right w:val="none" w:sz="0" w:space="0" w:color="auto"/>
      </w:divBdr>
    </w:div>
    <w:div w:id="1961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hesa.ac.uk/collection/c15042/a/functionalsuitability"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http://theoakleafgroup.co.uk/education-sector-surveys/functional-suitability-review-education"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m.admin.cam.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EC1C59-208C-44EF-93B0-4FBC2C2BD58E}" type="doc">
      <dgm:prSet loTypeId="urn:microsoft.com/office/officeart/2005/8/layout/lProcess2" loCatId="list" qsTypeId="urn:microsoft.com/office/officeart/2005/8/quickstyle/simple1" qsCatId="simple" csTypeId="urn:microsoft.com/office/officeart/2005/8/colors/accent3_3" csCatId="accent3" phldr="1"/>
      <dgm:spPr/>
      <dgm:t>
        <a:bodyPr/>
        <a:lstStyle/>
        <a:p>
          <a:endParaRPr lang="en-GB"/>
        </a:p>
      </dgm:t>
    </dgm:pt>
    <dgm:pt modelId="{4126E789-8A9A-48EB-A4F2-24023A4A3003}">
      <dgm:prSet phldrT="[Text]" custT="1"/>
      <dgm:spPr/>
      <dgm:t>
        <a:bodyPr/>
        <a:lstStyle/>
        <a:p>
          <a:pPr>
            <a:lnSpc>
              <a:spcPts val="90"/>
            </a:lnSpc>
            <a:spcAft>
              <a:spcPts val="588"/>
            </a:spcAft>
          </a:pPr>
          <a:r>
            <a:rPr lang="en-GB" sz="1400"/>
            <a:t>Phase</a:t>
          </a:r>
          <a:r>
            <a:rPr lang="en-GB" sz="3300"/>
            <a:t> </a:t>
          </a:r>
          <a:r>
            <a:rPr lang="en-GB" sz="1400"/>
            <a:t>1</a:t>
          </a:r>
        </a:p>
      </dgm:t>
    </dgm:pt>
    <dgm:pt modelId="{7457F7ED-622B-4113-8C4F-0C2D7C924FCA}" type="parTrans" cxnId="{199E9ADB-AF68-422E-B541-E1E3E335B1D8}">
      <dgm:prSet/>
      <dgm:spPr/>
      <dgm:t>
        <a:bodyPr/>
        <a:lstStyle/>
        <a:p>
          <a:endParaRPr lang="en-GB"/>
        </a:p>
      </dgm:t>
    </dgm:pt>
    <dgm:pt modelId="{7989449C-A926-4040-B646-99C17CE2209A}" type="sibTrans" cxnId="{199E9ADB-AF68-422E-B541-E1E3E335B1D8}">
      <dgm:prSet/>
      <dgm:spPr/>
      <dgm:t>
        <a:bodyPr/>
        <a:lstStyle/>
        <a:p>
          <a:endParaRPr lang="en-GB"/>
        </a:p>
      </dgm:t>
    </dgm:pt>
    <dgm:pt modelId="{05A25922-CE98-4B4D-8A56-E7044FC03284}">
      <dgm:prSet phldrT="[Text]" custT="1"/>
      <dgm:spPr/>
      <dgm:t>
        <a:bodyPr/>
        <a:lstStyle/>
        <a:p>
          <a:r>
            <a:rPr lang="en-GB" sz="1400"/>
            <a:t>Phase 3</a:t>
          </a:r>
        </a:p>
      </dgm:t>
    </dgm:pt>
    <dgm:pt modelId="{BD45F440-DE36-4CBD-B2BF-BB6B7D8F089D}" type="parTrans" cxnId="{838AF576-AF6F-4436-B0D3-10325EC49E5B}">
      <dgm:prSet/>
      <dgm:spPr/>
      <dgm:t>
        <a:bodyPr/>
        <a:lstStyle/>
        <a:p>
          <a:endParaRPr lang="en-GB"/>
        </a:p>
      </dgm:t>
    </dgm:pt>
    <dgm:pt modelId="{02023A0B-9E77-4E17-9681-E1E903E72BEC}" type="sibTrans" cxnId="{838AF576-AF6F-4436-B0D3-10325EC49E5B}">
      <dgm:prSet/>
      <dgm:spPr/>
      <dgm:t>
        <a:bodyPr/>
        <a:lstStyle/>
        <a:p>
          <a:endParaRPr lang="en-GB"/>
        </a:p>
      </dgm:t>
    </dgm:pt>
    <dgm:pt modelId="{85110126-3AB2-4111-9929-B4072050E435}">
      <dgm:prSet phldrT="[Text]" custT="1"/>
      <dgm:spPr/>
      <dgm:t>
        <a:bodyPr/>
        <a:lstStyle/>
        <a:p>
          <a:r>
            <a:rPr lang="en-GB" sz="1200" baseline="0"/>
            <a:t>Determining change required to have fit-for-purpose facilities that are used efficiently</a:t>
          </a:r>
        </a:p>
      </dgm:t>
    </dgm:pt>
    <dgm:pt modelId="{5F340AC7-3546-430F-99BD-3A068D7799A6}" type="parTrans" cxnId="{873F5F44-0B5E-4559-95E1-822185A818A1}">
      <dgm:prSet/>
      <dgm:spPr/>
      <dgm:t>
        <a:bodyPr/>
        <a:lstStyle/>
        <a:p>
          <a:endParaRPr lang="en-GB"/>
        </a:p>
      </dgm:t>
    </dgm:pt>
    <dgm:pt modelId="{F8A13AD5-C04B-49CE-948A-F28D9F80E57E}" type="sibTrans" cxnId="{873F5F44-0B5E-4559-95E1-822185A818A1}">
      <dgm:prSet/>
      <dgm:spPr/>
      <dgm:t>
        <a:bodyPr/>
        <a:lstStyle/>
        <a:p>
          <a:endParaRPr lang="en-GB"/>
        </a:p>
      </dgm:t>
    </dgm:pt>
    <dgm:pt modelId="{AA84B162-07AD-44FE-9739-834EF148C1A1}">
      <dgm:prSet phldrT="[Text]" custT="1"/>
      <dgm:spPr/>
      <dgm:t>
        <a:bodyPr/>
        <a:lstStyle/>
        <a:p>
          <a:r>
            <a:rPr lang="en-GB" sz="1200"/>
            <a:t>Determining how space on the estate could be better configured to support the University’s teaching and learning needs</a:t>
          </a:r>
        </a:p>
      </dgm:t>
    </dgm:pt>
    <dgm:pt modelId="{2264C21E-4D47-4A4F-ADA7-998F46BEB55C}" type="parTrans" cxnId="{C34935C5-DA37-4CC5-822A-30B1E2ABAFB6}">
      <dgm:prSet/>
      <dgm:spPr/>
      <dgm:t>
        <a:bodyPr/>
        <a:lstStyle/>
        <a:p>
          <a:endParaRPr lang="en-GB"/>
        </a:p>
      </dgm:t>
    </dgm:pt>
    <dgm:pt modelId="{5FA396F7-C276-4978-A137-6125171796D1}" type="sibTrans" cxnId="{C34935C5-DA37-4CC5-822A-30B1E2ABAFB6}">
      <dgm:prSet/>
      <dgm:spPr/>
      <dgm:t>
        <a:bodyPr/>
        <a:lstStyle/>
        <a:p>
          <a:endParaRPr lang="en-GB"/>
        </a:p>
      </dgm:t>
    </dgm:pt>
    <dgm:pt modelId="{E68206E5-74D6-4B48-B8FB-09EF19E21BAD}">
      <dgm:prSet phldrT="[Text]" custT="1"/>
      <dgm:spPr/>
      <dgm:t>
        <a:bodyPr/>
        <a:lstStyle/>
        <a:p>
          <a:r>
            <a:rPr lang="en-GB" sz="1200"/>
            <a:t>Understanding the current education provision and the estate</a:t>
          </a:r>
        </a:p>
      </dgm:t>
    </dgm:pt>
    <dgm:pt modelId="{07B56078-69CF-47B7-B60E-58BDE5FF9F76}" type="parTrans" cxnId="{9F95B21D-B0A5-49FD-9737-A549D7E9F1B9}">
      <dgm:prSet/>
      <dgm:spPr/>
      <dgm:t>
        <a:bodyPr/>
        <a:lstStyle/>
        <a:p>
          <a:endParaRPr lang="en-GB"/>
        </a:p>
      </dgm:t>
    </dgm:pt>
    <dgm:pt modelId="{32C8322E-6A9F-4939-80DE-4653CD25040E}" type="sibTrans" cxnId="{9F95B21D-B0A5-49FD-9737-A549D7E9F1B9}">
      <dgm:prSet/>
      <dgm:spPr/>
      <dgm:t>
        <a:bodyPr/>
        <a:lstStyle/>
        <a:p>
          <a:endParaRPr lang="en-GB"/>
        </a:p>
      </dgm:t>
    </dgm:pt>
    <dgm:pt modelId="{FEA27229-4DE5-479F-AD12-A476D42B4DF6}">
      <dgm:prSet phldrT="[Text]" custT="1"/>
      <dgm:spPr/>
      <dgm:t>
        <a:bodyPr/>
        <a:lstStyle/>
        <a:p>
          <a:r>
            <a:rPr lang="en-GB" sz="1400"/>
            <a:t>Phase 2</a:t>
          </a:r>
        </a:p>
      </dgm:t>
    </dgm:pt>
    <dgm:pt modelId="{6634CD18-22B4-462B-981E-A9587559E4D5}" type="sibTrans" cxnId="{22E9EFCD-DD18-4248-92A0-A1D6F8A8FEBA}">
      <dgm:prSet/>
      <dgm:spPr/>
      <dgm:t>
        <a:bodyPr/>
        <a:lstStyle/>
        <a:p>
          <a:endParaRPr lang="en-GB"/>
        </a:p>
      </dgm:t>
    </dgm:pt>
    <dgm:pt modelId="{D8C5C4BE-243A-4428-9384-98B99EBD6182}" type="parTrans" cxnId="{22E9EFCD-DD18-4248-92A0-A1D6F8A8FEBA}">
      <dgm:prSet/>
      <dgm:spPr/>
      <dgm:t>
        <a:bodyPr/>
        <a:lstStyle/>
        <a:p>
          <a:endParaRPr lang="en-GB"/>
        </a:p>
      </dgm:t>
    </dgm:pt>
    <dgm:pt modelId="{FE95CA6C-EFF7-4D59-B7A1-995EE1868CA2}" type="pres">
      <dgm:prSet presAssocID="{C1EC1C59-208C-44EF-93B0-4FBC2C2BD58E}" presName="theList" presStyleCnt="0">
        <dgm:presLayoutVars>
          <dgm:dir/>
          <dgm:animLvl val="lvl"/>
          <dgm:resizeHandles val="exact"/>
        </dgm:presLayoutVars>
      </dgm:prSet>
      <dgm:spPr/>
      <dgm:t>
        <a:bodyPr/>
        <a:lstStyle/>
        <a:p>
          <a:endParaRPr lang="en-GB"/>
        </a:p>
      </dgm:t>
    </dgm:pt>
    <dgm:pt modelId="{944870CD-F96C-468F-8A48-7912B7C3A537}" type="pres">
      <dgm:prSet presAssocID="{4126E789-8A9A-48EB-A4F2-24023A4A3003}" presName="compNode" presStyleCnt="0"/>
      <dgm:spPr/>
      <dgm:t>
        <a:bodyPr/>
        <a:lstStyle/>
        <a:p>
          <a:endParaRPr lang="en-GB"/>
        </a:p>
      </dgm:t>
    </dgm:pt>
    <dgm:pt modelId="{F2A54A95-D0B6-4E46-8F1F-96D5CAB84B73}" type="pres">
      <dgm:prSet presAssocID="{4126E789-8A9A-48EB-A4F2-24023A4A3003}" presName="aNode" presStyleLbl="bgShp" presStyleIdx="0" presStyleCnt="3"/>
      <dgm:spPr/>
      <dgm:t>
        <a:bodyPr/>
        <a:lstStyle/>
        <a:p>
          <a:endParaRPr lang="en-GB"/>
        </a:p>
      </dgm:t>
    </dgm:pt>
    <dgm:pt modelId="{C3BA492B-5A55-4D49-AEF7-E38CAAB18437}" type="pres">
      <dgm:prSet presAssocID="{4126E789-8A9A-48EB-A4F2-24023A4A3003}" presName="textNode" presStyleLbl="bgShp" presStyleIdx="0" presStyleCnt="3"/>
      <dgm:spPr/>
      <dgm:t>
        <a:bodyPr/>
        <a:lstStyle/>
        <a:p>
          <a:endParaRPr lang="en-GB"/>
        </a:p>
      </dgm:t>
    </dgm:pt>
    <dgm:pt modelId="{1549ED05-201D-44B6-A85B-ED3D25A8C80F}" type="pres">
      <dgm:prSet presAssocID="{4126E789-8A9A-48EB-A4F2-24023A4A3003}" presName="compChildNode" presStyleCnt="0"/>
      <dgm:spPr/>
      <dgm:t>
        <a:bodyPr/>
        <a:lstStyle/>
        <a:p>
          <a:endParaRPr lang="en-GB"/>
        </a:p>
      </dgm:t>
    </dgm:pt>
    <dgm:pt modelId="{4BC600D2-4C89-4E47-B149-5A12EFFB8C3E}" type="pres">
      <dgm:prSet presAssocID="{4126E789-8A9A-48EB-A4F2-24023A4A3003}" presName="theInnerList" presStyleCnt="0"/>
      <dgm:spPr/>
      <dgm:t>
        <a:bodyPr/>
        <a:lstStyle/>
        <a:p>
          <a:endParaRPr lang="en-GB"/>
        </a:p>
      </dgm:t>
    </dgm:pt>
    <dgm:pt modelId="{D29BB73C-257E-4135-AD6B-BBE35FF02B8D}" type="pres">
      <dgm:prSet presAssocID="{E68206E5-74D6-4B48-B8FB-09EF19E21BAD}" presName="childNode" presStyleLbl="node1" presStyleIdx="0" presStyleCnt="3">
        <dgm:presLayoutVars>
          <dgm:bulletEnabled val="1"/>
        </dgm:presLayoutVars>
      </dgm:prSet>
      <dgm:spPr/>
      <dgm:t>
        <a:bodyPr/>
        <a:lstStyle/>
        <a:p>
          <a:endParaRPr lang="en-GB"/>
        </a:p>
      </dgm:t>
    </dgm:pt>
    <dgm:pt modelId="{D89C1380-B438-4A92-BC3D-5259A372FD01}" type="pres">
      <dgm:prSet presAssocID="{4126E789-8A9A-48EB-A4F2-24023A4A3003}" presName="aSpace" presStyleCnt="0"/>
      <dgm:spPr/>
      <dgm:t>
        <a:bodyPr/>
        <a:lstStyle/>
        <a:p>
          <a:endParaRPr lang="en-GB"/>
        </a:p>
      </dgm:t>
    </dgm:pt>
    <dgm:pt modelId="{9A4462BA-FE8E-4BA9-AA58-86D17EFD5142}" type="pres">
      <dgm:prSet presAssocID="{FEA27229-4DE5-479F-AD12-A476D42B4DF6}" presName="compNode" presStyleCnt="0"/>
      <dgm:spPr/>
      <dgm:t>
        <a:bodyPr/>
        <a:lstStyle/>
        <a:p>
          <a:endParaRPr lang="en-GB"/>
        </a:p>
      </dgm:t>
    </dgm:pt>
    <dgm:pt modelId="{FDF6F825-0C94-4D7A-A5DB-BDFECBBC487D}" type="pres">
      <dgm:prSet presAssocID="{FEA27229-4DE5-479F-AD12-A476D42B4DF6}" presName="aNode" presStyleLbl="bgShp" presStyleIdx="1" presStyleCnt="3"/>
      <dgm:spPr/>
      <dgm:t>
        <a:bodyPr/>
        <a:lstStyle/>
        <a:p>
          <a:endParaRPr lang="en-GB"/>
        </a:p>
      </dgm:t>
    </dgm:pt>
    <dgm:pt modelId="{8831917D-2266-464C-B9C2-7AFC6D31DB06}" type="pres">
      <dgm:prSet presAssocID="{FEA27229-4DE5-479F-AD12-A476D42B4DF6}" presName="textNode" presStyleLbl="bgShp" presStyleIdx="1" presStyleCnt="3"/>
      <dgm:spPr/>
      <dgm:t>
        <a:bodyPr/>
        <a:lstStyle/>
        <a:p>
          <a:endParaRPr lang="en-GB"/>
        </a:p>
      </dgm:t>
    </dgm:pt>
    <dgm:pt modelId="{837CC9EA-96F4-46DD-AAFE-3F14DF14DEB5}" type="pres">
      <dgm:prSet presAssocID="{FEA27229-4DE5-479F-AD12-A476D42B4DF6}" presName="compChildNode" presStyleCnt="0"/>
      <dgm:spPr/>
      <dgm:t>
        <a:bodyPr/>
        <a:lstStyle/>
        <a:p>
          <a:endParaRPr lang="en-GB"/>
        </a:p>
      </dgm:t>
    </dgm:pt>
    <dgm:pt modelId="{ED36139A-6939-4F11-91E8-B690A692FE1C}" type="pres">
      <dgm:prSet presAssocID="{FEA27229-4DE5-479F-AD12-A476D42B4DF6}" presName="theInnerList" presStyleCnt="0"/>
      <dgm:spPr/>
      <dgm:t>
        <a:bodyPr/>
        <a:lstStyle/>
        <a:p>
          <a:endParaRPr lang="en-GB"/>
        </a:p>
      </dgm:t>
    </dgm:pt>
    <dgm:pt modelId="{285FD186-D17F-4E1B-9FE2-534720E68D43}" type="pres">
      <dgm:prSet presAssocID="{AA84B162-07AD-44FE-9739-834EF148C1A1}" presName="childNode" presStyleLbl="node1" presStyleIdx="1" presStyleCnt="3">
        <dgm:presLayoutVars>
          <dgm:bulletEnabled val="1"/>
        </dgm:presLayoutVars>
      </dgm:prSet>
      <dgm:spPr/>
      <dgm:t>
        <a:bodyPr/>
        <a:lstStyle/>
        <a:p>
          <a:endParaRPr lang="en-GB"/>
        </a:p>
      </dgm:t>
    </dgm:pt>
    <dgm:pt modelId="{EBD14AA5-393A-4C27-BC43-14709ECA8645}" type="pres">
      <dgm:prSet presAssocID="{FEA27229-4DE5-479F-AD12-A476D42B4DF6}" presName="aSpace" presStyleCnt="0"/>
      <dgm:spPr/>
      <dgm:t>
        <a:bodyPr/>
        <a:lstStyle/>
        <a:p>
          <a:endParaRPr lang="en-GB"/>
        </a:p>
      </dgm:t>
    </dgm:pt>
    <dgm:pt modelId="{90CA225A-A1EC-4FA5-B968-A48B93A14B3A}" type="pres">
      <dgm:prSet presAssocID="{05A25922-CE98-4B4D-8A56-E7044FC03284}" presName="compNode" presStyleCnt="0"/>
      <dgm:spPr/>
      <dgm:t>
        <a:bodyPr/>
        <a:lstStyle/>
        <a:p>
          <a:endParaRPr lang="en-GB"/>
        </a:p>
      </dgm:t>
    </dgm:pt>
    <dgm:pt modelId="{226A8DED-0248-48DB-8F10-A22C2B99EE5D}" type="pres">
      <dgm:prSet presAssocID="{05A25922-CE98-4B4D-8A56-E7044FC03284}" presName="aNode" presStyleLbl="bgShp" presStyleIdx="2" presStyleCnt="3"/>
      <dgm:spPr/>
      <dgm:t>
        <a:bodyPr/>
        <a:lstStyle/>
        <a:p>
          <a:endParaRPr lang="en-GB"/>
        </a:p>
      </dgm:t>
    </dgm:pt>
    <dgm:pt modelId="{8AA4EDFA-50F7-4D2C-BD39-F9BA50A86BC7}" type="pres">
      <dgm:prSet presAssocID="{05A25922-CE98-4B4D-8A56-E7044FC03284}" presName="textNode" presStyleLbl="bgShp" presStyleIdx="2" presStyleCnt="3"/>
      <dgm:spPr/>
      <dgm:t>
        <a:bodyPr/>
        <a:lstStyle/>
        <a:p>
          <a:endParaRPr lang="en-GB"/>
        </a:p>
      </dgm:t>
    </dgm:pt>
    <dgm:pt modelId="{774C9728-6AAA-4683-80A9-566EC88C0C0A}" type="pres">
      <dgm:prSet presAssocID="{05A25922-CE98-4B4D-8A56-E7044FC03284}" presName="compChildNode" presStyleCnt="0"/>
      <dgm:spPr/>
      <dgm:t>
        <a:bodyPr/>
        <a:lstStyle/>
        <a:p>
          <a:endParaRPr lang="en-GB"/>
        </a:p>
      </dgm:t>
    </dgm:pt>
    <dgm:pt modelId="{A545D350-338F-4D5D-901E-C4417A857C0A}" type="pres">
      <dgm:prSet presAssocID="{05A25922-CE98-4B4D-8A56-E7044FC03284}" presName="theInnerList" presStyleCnt="0"/>
      <dgm:spPr/>
      <dgm:t>
        <a:bodyPr/>
        <a:lstStyle/>
        <a:p>
          <a:endParaRPr lang="en-GB"/>
        </a:p>
      </dgm:t>
    </dgm:pt>
    <dgm:pt modelId="{F2C6ECF4-4D98-4863-BA27-A436AF062237}" type="pres">
      <dgm:prSet presAssocID="{85110126-3AB2-4111-9929-B4072050E435}" presName="childNode" presStyleLbl="node1" presStyleIdx="2" presStyleCnt="3">
        <dgm:presLayoutVars>
          <dgm:bulletEnabled val="1"/>
        </dgm:presLayoutVars>
      </dgm:prSet>
      <dgm:spPr/>
      <dgm:t>
        <a:bodyPr/>
        <a:lstStyle/>
        <a:p>
          <a:endParaRPr lang="en-GB"/>
        </a:p>
      </dgm:t>
    </dgm:pt>
  </dgm:ptLst>
  <dgm:cxnLst>
    <dgm:cxn modelId="{22E9EFCD-DD18-4248-92A0-A1D6F8A8FEBA}" srcId="{C1EC1C59-208C-44EF-93B0-4FBC2C2BD58E}" destId="{FEA27229-4DE5-479F-AD12-A476D42B4DF6}" srcOrd="1" destOrd="0" parTransId="{D8C5C4BE-243A-4428-9384-98B99EBD6182}" sibTransId="{6634CD18-22B4-462B-981E-A9587559E4D5}"/>
    <dgm:cxn modelId="{E7C6BB8D-B601-47C9-87B7-BA506D97B2F0}" type="presOf" srcId="{FEA27229-4DE5-479F-AD12-A476D42B4DF6}" destId="{FDF6F825-0C94-4D7A-A5DB-BDFECBBC487D}" srcOrd="0" destOrd="0" presId="urn:microsoft.com/office/officeart/2005/8/layout/lProcess2"/>
    <dgm:cxn modelId="{3A48D2D6-1E2E-4780-834D-8376EB973F0B}" type="presOf" srcId="{05A25922-CE98-4B4D-8A56-E7044FC03284}" destId="{226A8DED-0248-48DB-8F10-A22C2B99EE5D}" srcOrd="0" destOrd="0" presId="urn:microsoft.com/office/officeart/2005/8/layout/lProcess2"/>
    <dgm:cxn modelId="{623189E2-2615-4D6C-A2EA-A7E0E69E3D23}" type="presOf" srcId="{05A25922-CE98-4B4D-8A56-E7044FC03284}" destId="{8AA4EDFA-50F7-4D2C-BD39-F9BA50A86BC7}" srcOrd="1" destOrd="0" presId="urn:microsoft.com/office/officeart/2005/8/layout/lProcess2"/>
    <dgm:cxn modelId="{E3E56C88-2255-44DF-BC38-4C9854F44C14}" type="presOf" srcId="{AA84B162-07AD-44FE-9739-834EF148C1A1}" destId="{285FD186-D17F-4E1B-9FE2-534720E68D43}" srcOrd="0" destOrd="0" presId="urn:microsoft.com/office/officeart/2005/8/layout/lProcess2"/>
    <dgm:cxn modelId="{200BB925-2BA7-4761-9560-F26CC3FCDC85}" type="presOf" srcId="{85110126-3AB2-4111-9929-B4072050E435}" destId="{F2C6ECF4-4D98-4863-BA27-A436AF062237}" srcOrd="0" destOrd="0" presId="urn:microsoft.com/office/officeart/2005/8/layout/lProcess2"/>
    <dgm:cxn modelId="{5AF9CA67-F712-4633-ADA5-68AC524CE1A6}" type="presOf" srcId="{FEA27229-4DE5-479F-AD12-A476D42B4DF6}" destId="{8831917D-2266-464C-B9C2-7AFC6D31DB06}" srcOrd="1" destOrd="0" presId="urn:microsoft.com/office/officeart/2005/8/layout/lProcess2"/>
    <dgm:cxn modelId="{D54FE107-1FF2-4129-AEC6-AB4EEDF96484}" type="presOf" srcId="{4126E789-8A9A-48EB-A4F2-24023A4A3003}" destId="{C3BA492B-5A55-4D49-AEF7-E38CAAB18437}" srcOrd="1" destOrd="0" presId="urn:microsoft.com/office/officeart/2005/8/layout/lProcess2"/>
    <dgm:cxn modelId="{5D44A22A-439B-464F-8E02-1E2F6080E2A2}" type="presOf" srcId="{C1EC1C59-208C-44EF-93B0-4FBC2C2BD58E}" destId="{FE95CA6C-EFF7-4D59-B7A1-995EE1868CA2}" srcOrd="0" destOrd="0" presId="urn:microsoft.com/office/officeart/2005/8/layout/lProcess2"/>
    <dgm:cxn modelId="{C34935C5-DA37-4CC5-822A-30B1E2ABAFB6}" srcId="{FEA27229-4DE5-479F-AD12-A476D42B4DF6}" destId="{AA84B162-07AD-44FE-9739-834EF148C1A1}" srcOrd="0" destOrd="0" parTransId="{2264C21E-4D47-4A4F-ADA7-998F46BEB55C}" sibTransId="{5FA396F7-C276-4978-A137-6125171796D1}"/>
    <dgm:cxn modelId="{9F95B21D-B0A5-49FD-9737-A549D7E9F1B9}" srcId="{4126E789-8A9A-48EB-A4F2-24023A4A3003}" destId="{E68206E5-74D6-4B48-B8FB-09EF19E21BAD}" srcOrd="0" destOrd="0" parTransId="{07B56078-69CF-47B7-B60E-58BDE5FF9F76}" sibTransId="{32C8322E-6A9F-4939-80DE-4653CD25040E}"/>
    <dgm:cxn modelId="{838AF576-AF6F-4436-B0D3-10325EC49E5B}" srcId="{C1EC1C59-208C-44EF-93B0-4FBC2C2BD58E}" destId="{05A25922-CE98-4B4D-8A56-E7044FC03284}" srcOrd="2" destOrd="0" parTransId="{BD45F440-DE36-4CBD-B2BF-BB6B7D8F089D}" sibTransId="{02023A0B-9E77-4E17-9681-E1E903E72BEC}"/>
    <dgm:cxn modelId="{873F5F44-0B5E-4559-95E1-822185A818A1}" srcId="{05A25922-CE98-4B4D-8A56-E7044FC03284}" destId="{85110126-3AB2-4111-9929-B4072050E435}" srcOrd="0" destOrd="0" parTransId="{5F340AC7-3546-430F-99BD-3A068D7799A6}" sibTransId="{F8A13AD5-C04B-49CE-948A-F28D9F80E57E}"/>
    <dgm:cxn modelId="{3344AF8C-A3C5-4A32-97E1-32DBACDFC8CD}" type="presOf" srcId="{E68206E5-74D6-4B48-B8FB-09EF19E21BAD}" destId="{D29BB73C-257E-4135-AD6B-BBE35FF02B8D}" srcOrd="0" destOrd="0" presId="urn:microsoft.com/office/officeart/2005/8/layout/lProcess2"/>
    <dgm:cxn modelId="{199E9ADB-AF68-422E-B541-E1E3E335B1D8}" srcId="{C1EC1C59-208C-44EF-93B0-4FBC2C2BD58E}" destId="{4126E789-8A9A-48EB-A4F2-24023A4A3003}" srcOrd="0" destOrd="0" parTransId="{7457F7ED-622B-4113-8C4F-0C2D7C924FCA}" sibTransId="{7989449C-A926-4040-B646-99C17CE2209A}"/>
    <dgm:cxn modelId="{51C7BC62-A2FF-4BA3-A340-73409B3B3A01}" type="presOf" srcId="{4126E789-8A9A-48EB-A4F2-24023A4A3003}" destId="{F2A54A95-D0B6-4E46-8F1F-96D5CAB84B73}" srcOrd="0" destOrd="0" presId="urn:microsoft.com/office/officeart/2005/8/layout/lProcess2"/>
    <dgm:cxn modelId="{ACC893A3-7936-41CB-95BA-A26178E63D67}" type="presParOf" srcId="{FE95CA6C-EFF7-4D59-B7A1-995EE1868CA2}" destId="{944870CD-F96C-468F-8A48-7912B7C3A537}" srcOrd="0" destOrd="0" presId="urn:microsoft.com/office/officeart/2005/8/layout/lProcess2"/>
    <dgm:cxn modelId="{AD1404D7-DC49-446A-A5FA-B2BC640110BE}" type="presParOf" srcId="{944870CD-F96C-468F-8A48-7912B7C3A537}" destId="{F2A54A95-D0B6-4E46-8F1F-96D5CAB84B73}" srcOrd="0" destOrd="0" presId="urn:microsoft.com/office/officeart/2005/8/layout/lProcess2"/>
    <dgm:cxn modelId="{16C451C9-A2B9-49CA-9560-B63D80D49A06}" type="presParOf" srcId="{944870CD-F96C-468F-8A48-7912B7C3A537}" destId="{C3BA492B-5A55-4D49-AEF7-E38CAAB18437}" srcOrd="1" destOrd="0" presId="urn:microsoft.com/office/officeart/2005/8/layout/lProcess2"/>
    <dgm:cxn modelId="{A597879D-4E66-4A07-9F5B-02CCF4444626}" type="presParOf" srcId="{944870CD-F96C-468F-8A48-7912B7C3A537}" destId="{1549ED05-201D-44B6-A85B-ED3D25A8C80F}" srcOrd="2" destOrd="0" presId="urn:microsoft.com/office/officeart/2005/8/layout/lProcess2"/>
    <dgm:cxn modelId="{A1084CEF-8151-41A4-AA5D-6E7002AA8940}" type="presParOf" srcId="{1549ED05-201D-44B6-A85B-ED3D25A8C80F}" destId="{4BC600D2-4C89-4E47-B149-5A12EFFB8C3E}" srcOrd="0" destOrd="0" presId="urn:microsoft.com/office/officeart/2005/8/layout/lProcess2"/>
    <dgm:cxn modelId="{E4A5B341-AD20-4DCE-9017-B1EC73742738}" type="presParOf" srcId="{4BC600D2-4C89-4E47-B149-5A12EFFB8C3E}" destId="{D29BB73C-257E-4135-AD6B-BBE35FF02B8D}" srcOrd="0" destOrd="0" presId="urn:microsoft.com/office/officeart/2005/8/layout/lProcess2"/>
    <dgm:cxn modelId="{95B9C61A-4ABD-4CFC-A8B9-55A8A1BD9A5F}" type="presParOf" srcId="{FE95CA6C-EFF7-4D59-B7A1-995EE1868CA2}" destId="{D89C1380-B438-4A92-BC3D-5259A372FD01}" srcOrd="1" destOrd="0" presId="urn:microsoft.com/office/officeart/2005/8/layout/lProcess2"/>
    <dgm:cxn modelId="{306F0069-4C85-46E3-991C-0DFD1E3BE252}" type="presParOf" srcId="{FE95CA6C-EFF7-4D59-B7A1-995EE1868CA2}" destId="{9A4462BA-FE8E-4BA9-AA58-86D17EFD5142}" srcOrd="2" destOrd="0" presId="urn:microsoft.com/office/officeart/2005/8/layout/lProcess2"/>
    <dgm:cxn modelId="{382C509E-3D3F-4AA9-90AF-419077D4D1A7}" type="presParOf" srcId="{9A4462BA-FE8E-4BA9-AA58-86D17EFD5142}" destId="{FDF6F825-0C94-4D7A-A5DB-BDFECBBC487D}" srcOrd="0" destOrd="0" presId="urn:microsoft.com/office/officeart/2005/8/layout/lProcess2"/>
    <dgm:cxn modelId="{E0C55A48-8972-4FA9-B0BC-7F5A6978BEBA}" type="presParOf" srcId="{9A4462BA-FE8E-4BA9-AA58-86D17EFD5142}" destId="{8831917D-2266-464C-B9C2-7AFC6D31DB06}" srcOrd="1" destOrd="0" presId="urn:microsoft.com/office/officeart/2005/8/layout/lProcess2"/>
    <dgm:cxn modelId="{D68EA8DD-C661-4D2B-9B89-9E31A74C2CAC}" type="presParOf" srcId="{9A4462BA-FE8E-4BA9-AA58-86D17EFD5142}" destId="{837CC9EA-96F4-46DD-AAFE-3F14DF14DEB5}" srcOrd="2" destOrd="0" presId="urn:microsoft.com/office/officeart/2005/8/layout/lProcess2"/>
    <dgm:cxn modelId="{B9CD3C3C-F13E-4024-AD99-8C6FE386D061}" type="presParOf" srcId="{837CC9EA-96F4-46DD-AAFE-3F14DF14DEB5}" destId="{ED36139A-6939-4F11-91E8-B690A692FE1C}" srcOrd="0" destOrd="0" presId="urn:microsoft.com/office/officeart/2005/8/layout/lProcess2"/>
    <dgm:cxn modelId="{5FB9A3ED-F9CB-4082-8426-A716D5A46D05}" type="presParOf" srcId="{ED36139A-6939-4F11-91E8-B690A692FE1C}" destId="{285FD186-D17F-4E1B-9FE2-534720E68D43}" srcOrd="0" destOrd="0" presId="urn:microsoft.com/office/officeart/2005/8/layout/lProcess2"/>
    <dgm:cxn modelId="{49C4D8B3-7F84-4385-9EB4-8505508D5BA4}" type="presParOf" srcId="{FE95CA6C-EFF7-4D59-B7A1-995EE1868CA2}" destId="{EBD14AA5-393A-4C27-BC43-14709ECA8645}" srcOrd="3" destOrd="0" presId="urn:microsoft.com/office/officeart/2005/8/layout/lProcess2"/>
    <dgm:cxn modelId="{ECBF98EC-DA2A-461D-8BB7-054BBD334BC4}" type="presParOf" srcId="{FE95CA6C-EFF7-4D59-B7A1-995EE1868CA2}" destId="{90CA225A-A1EC-4FA5-B968-A48B93A14B3A}" srcOrd="4" destOrd="0" presId="urn:microsoft.com/office/officeart/2005/8/layout/lProcess2"/>
    <dgm:cxn modelId="{02E754D0-7406-47ED-B379-CC5352FC1451}" type="presParOf" srcId="{90CA225A-A1EC-4FA5-B968-A48B93A14B3A}" destId="{226A8DED-0248-48DB-8F10-A22C2B99EE5D}" srcOrd="0" destOrd="0" presId="urn:microsoft.com/office/officeart/2005/8/layout/lProcess2"/>
    <dgm:cxn modelId="{B26153D3-C12D-4350-A485-4592EBDCBE08}" type="presParOf" srcId="{90CA225A-A1EC-4FA5-B968-A48B93A14B3A}" destId="{8AA4EDFA-50F7-4D2C-BD39-F9BA50A86BC7}" srcOrd="1" destOrd="0" presId="urn:microsoft.com/office/officeart/2005/8/layout/lProcess2"/>
    <dgm:cxn modelId="{39E682B5-1AFA-4E69-A5A6-1B0B7C4F3FC5}" type="presParOf" srcId="{90CA225A-A1EC-4FA5-B968-A48B93A14B3A}" destId="{774C9728-6AAA-4683-80A9-566EC88C0C0A}" srcOrd="2" destOrd="0" presId="urn:microsoft.com/office/officeart/2005/8/layout/lProcess2"/>
    <dgm:cxn modelId="{7ECF245A-83F1-41B1-985E-E59A392429B9}" type="presParOf" srcId="{774C9728-6AAA-4683-80A9-566EC88C0C0A}" destId="{A545D350-338F-4D5D-901E-C4417A857C0A}" srcOrd="0" destOrd="0" presId="urn:microsoft.com/office/officeart/2005/8/layout/lProcess2"/>
    <dgm:cxn modelId="{5C526DB4-41EB-42D7-9C7B-80D05ACEA8E6}" type="presParOf" srcId="{A545D350-338F-4D5D-901E-C4417A857C0A}" destId="{F2C6ECF4-4D98-4863-BA27-A436AF062237}" srcOrd="0"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A54A95-D0B6-4E46-8F1F-96D5CAB84B73}">
      <dsp:nvSpPr>
        <dsp:cNvPr id="0" name=""/>
        <dsp:cNvSpPr/>
      </dsp:nvSpPr>
      <dsp:spPr>
        <a:xfrm>
          <a:off x="731" y="0"/>
          <a:ext cx="1901511" cy="2847974"/>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ts val="90"/>
            </a:lnSpc>
            <a:spcBef>
              <a:spcPct val="0"/>
            </a:spcBef>
            <a:spcAft>
              <a:spcPts val="588"/>
            </a:spcAft>
          </a:pPr>
          <a:r>
            <a:rPr lang="en-GB" sz="1400" kern="1200"/>
            <a:t>Phase</a:t>
          </a:r>
          <a:r>
            <a:rPr lang="en-GB" sz="3300" kern="1200"/>
            <a:t> </a:t>
          </a:r>
          <a:r>
            <a:rPr lang="en-GB" sz="1400" kern="1200"/>
            <a:t>1</a:t>
          </a:r>
        </a:p>
      </dsp:txBody>
      <dsp:txXfrm>
        <a:off x="731" y="0"/>
        <a:ext cx="1901511" cy="854392"/>
      </dsp:txXfrm>
    </dsp:sp>
    <dsp:sp modelId="{D29BB73C-257E-4135-AD6B-BBE35FF02B8D}">
      <dsp:nvSpPr>
        <dsp:cNvPr id="0" name=""/>
        <dsp:cNvSpPr/>
      </dsp:nvSpPr>
      <dsp:spPr>
        <a:xfrm>
          <a:off x="190882" y="854392"/>
          <a:ext cx="1521209" cy="1851183"/>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GB" sz="1200" kern="1200"/>
            <a:t>Understanding the current education provision and the estate</a:t>
          </a:r>
        </a:p>
      </dsp:txBody>
      <dsp:txXfrm>
        <a:off x="235437" y="898947"/>
        <a:ext cx="1432099" cy="1762073"/>
      </dsp:txXfrm>
    </dsp:sp>
    <dsp:sp modelId="{FDF6F825-0C94-4D7A-A5DB-BDFECBBC487D}">
      <dsp:nvSpPr>
        <dsp:cNvPr id="0" name=""/>
        <dsp:cNvSpPr/>
      </dsp:nvSpPr>
      <dsp:spPr>
        <a:xfrm>
          <a:off x="2044856" y="0"/>
          <a:ext cx="1901511" cy="2847974"/>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Phase 2</a:t>
          </a:r>
        </a:p>
      </dsp:txBody>
      <dsp:txXfrm>
        <a:off x="2044856" y="0"/>
        <a:ext cx="1901511" cy="854392"/>
      </dsp:txXfrm>
    </dsp:sp>
    <dsp:sp modelId="{285FD186-D17F-4E1B-9FE2-534720E68D43}">
      <dsp:nvSpPr>
        <dsp:cNvPr id="0" name=""/>
        <dsp:cNvSpPr/>
      </dsp:nvSpPr>
      <dsp:spPr>
        <a:xfrm>
          <a:off x="2235007" y="854392"/>
          <a:ext cx="1521209" cy="1851183"/>
        </a:xfrm>
        <a:prstGeom prst="roundRect">
          <a:avLst>
            <a:gd name="adj" fmla="val 10000"/>
          </a:avLst>
        </a:prstGeom>
        <a:solidFill>
          <a:schemeClr val="accent3">
            <a:shade val="80000"/>
            <a:hueOff val="266734"/>
            <a:satOff val="-25391"/>
            <a:lumOff val="188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GB" sz="1200" kern="1200"/>
            <a:t>Determining how space on the estate could be better configured to support the University’s teaching and learning needs</a:t>
          </a:r>
        </a:p>
      </dsp:txBody>
      <dsp:txXfrm>
        <a:off x="2279562" y="898947"/>
        <a:ext cx="1432099" cy="1762073"/>
      </dsp:txXfrm>
    </dsp:sp>
    <dsp:sp modelId="{226A8DED-0248-48DB-8F10-A22C2B99EE5D}">
      <dsp:nvSpPr>
        <dsp:cNvPr id="0" name=""/>
        <dsp:cNvSpPr/>
      </dsp:nvSpPr>
      <dsp:spPr>
        <a:xfrm>
          <a:off x="4088981" y="0"/>
          <a:ext cx="1901511" cy="2847974"/>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Phase 3</a:t>
          </a:r>
        </a:p>
      </dsp:txBody>
      <dsp:txXfrm>
        <a:off x="4088981" y="0"/>
        <a:ext cx="1901511" cy="854392"/>
      </dsp:txXfrm>
    </dsp:sp>
    <dsp:sp modelId="{F2C6ECF4-4D98-4863-BA27-A436AF062237}">
      <dsp:nvSpPr>
        <dsp:cNvPr id="0" name=""/>
        <dsp:cNvSpPr/>
      </dsp:nvSpPr>
      <dsp:spPr>
        <a:xfrm>
          <a:off x="4279132" y="854392"/>
          <a:ext cx="1521209" cy="1851183"/>
        </a:xfrm>
        <a:prstGeom prst="roundRect">
          <a:avLst>
            <a:gd name="adj" fmla="val 10000"/>
          </a:avLst>
        </a:prstGeom>
        <a:solidFill>
          <a:schemeClr val="accent3">
            <a:shade val="80000"/>
            <a:hueOff val="533469"/>
            <a:satOff val="-50782"/>
            <a:lumOff val="377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GB" sz="1200" kern="1200" baseline="0"/>
            <a:t>Determining change required to have fit-for-purpose facilities that are used efficiently</a:t>
          </a:r>
        </a:p>
      </dsp:txBody>
      <dsp:txXfrm>
        <a:off x="4323687" y="898947"/>
        <a:ext cx="1432099" cy="176207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spect">
      <a:dk1>
        <a:sysClr val="windowText" lastClr="000000"/>
      </a:dk1>
      <a:lt1>
        <a:sysClr val="window" lastClr="EFEFE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873beb7-5857-4685-be1f-d57550cc96cc"/>
  </ds:schemaRefs>
</ds:datastoreItem>
</file>

<file path=customXml/itemProps4.xml><?xml version="1.0" encoding="utf-8"?>
<ds:datastoreItem xmlns:ds="http://schemas.openxmlformats.org/officeDocument/2006/customXml" ds:itemID="{60697BC9-4400-44AB-BAF1-E2B455C7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B6DF6BE1.dotm</Template>
  <TotalTime>38</TotalTime>
  <Pages>9</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Fage</dc:creator>
  <cp:lastModifiedBy>Hanna Weibye</cp:lastModifiedBy>
  <cp:revision>5</cp:revision>
  <cp:lastPrinted>2017-11-20T09:29:00Z</cp:lastPrinted>
  <dcterms:created xsi:type="dcterms:W3CDTF">2017-11-20T10:34:00Z</dcterms:created>
  <dcterms:modified xsi:type="dcterms:W3CDTF">2017-11-20T11:07:00Z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